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932708"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4C0558">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27CCA" w:rsidRPr="00327CCA">
                    <w:rPr>
                      <w:rFonts w:ascii="Algerian" w:hAnsi="Algerian"/>
                      <w:b/>
                      <w:sz w:val="38"/>
                      <w:szCs w:val="38"/>
                    </w:rPr>
                    <w:t>Madhya Pradesh</w:t>
                  </w:r>
                  <w:r w:rsidR="0037000B">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4C0558" w:rsidRPr="004C0558">
                    <w:rPr>
                      <w:rFonts w:ascii="Algerian" w:hAnsi="Algerian"/>
                      <w:b/>
                      <w:sz w:val="38"/>
                      <w:szCs w:val="38"/>
                    </w:rPr>
                    <w:t>Balaghat</w:t>
                  </w:r>
                </w:p>
                <w:p w:rsidR="00D9502D" w:rsidRPr="00407B7A" w:rsidRDefault="00D9502D" w:rsidP="004C0558">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43334E" w:rsidRDefault="0043334E" w:rsidP="00D440F0">
      <w:pPr>
        <w:jc w:val="center"/>
      </w:pPr>
    </w:p>
    <w:tbl>
      <w:tblPr>
        <w:tblW w:w="10540" w:type="dxa"/>
        <w:jc w:val="center"/>
        <w:tblInd w:w="93" w:type="dxa"/>
        <w:tblLook w:val="04A0"/>
      </w:tblPr>
      <w:tblGrid>
        <w:gridCol w:w="3120"/>
        <w:gridCol w:w="2180"/>
        <w:gridCol w:w="2980"/>
        <w:gridCol w:w="2260"/>
      </w:tblGrid>
      <w:tr w:rsidR="0043334E" w:rsidRPr="0043334E" w:rsidTr="0043334E">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3334E" w:rsidRPr="0043334E" w:rsidRDefault="0043334E" w:rsidP="0043334E">
            <w:pPr>
              <w:jc w:val="center"/>
              <w:rPr>
                <w:rFonts w:ascii="Calibri" w:hAnsi="Calibri"/>
                <w:b/>
                <w:bCs/>
                <w:sz w:val="20"/>
                <w:szCs w:val="20"/>
              </w:rPr>
            </w:pPr>
            <w:r w:rsidRPr="0043334E">
              <w:rPr>
                <w:rFonts w:ascii="Calibri" w:hAnsi="Calibri"/>
                <w:b/>
                <w:bCs/>
                <w:sz w:val="20"/>
                <w:szCs w:val="20"/>
              </w:rPr>
              <w:lastRenderedPageBreak/>
              <w:t>MP-Balaghat-  Summary -Apr'13 to Mar'14</w:t>
            </w:r>
          </w:p>
        </w:tc>
      </w:tr>
      <w:tr w:rsidR="0043334E" w:rsidRPr="0043334E" w:rsidTr="0043334E">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ANC</w:t>
            </w:r>
          </w:p>
        </w:tc>
      </w:tr>
      <w:tr w:rsidR="0043334E" w:rsidRPr="0043334E" w:rsidTr="0043334E">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73%</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93%</w:t>
            </w:r>
          </w:p>
        </w:tc>
      </w:tr>
      <w:tr w:rsidR="0043334E" w:rsidRPr="0043334E" w:rsidTr="0043334E">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95%</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99%</w:t>
            </w:r>
          </w:p>
        </w:tc>
      </w:tr>
      <w:tr w:rsidR="0043334E" w:rsidRPr="0043334E" w:rsidTr="0043334E">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Deliveries</w:t>
            </w:r>
          </w:p>
        </w:tc>
      </w:tr>
      <w:tr w:rsidR="0043334E" w:rsidRPr="0043334E" w:rsidTr="0043334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71.8%</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9.6%</w:t>
            </w:r>
          </w:p>
        </w:tc>
      </w:tr>
      <w:tr w:rsidR="0043334E" w:rsidRPr="0043334E" w:rsidTr="0043334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62.2%</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13.4%</w:t>
            </w:r>
          </w:p>
        </w:tc>
      </w:tr>
      <w:tr w:rsidR="0043334E" w:rsidRPr="0043334E" w:rsidTr="0043334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86.6%</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19.0%</w:t>
            </w:r>
          </w:p>
        </w:tc>
      </w:tr>
      <w:tr w:rsidR="0043334E" w:rsidRPr="0043334E" w:rsidTr="0043334E">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Births &amp; Neonates Care</w:t>
            </w:r>
          </w:p>
        </w:tc>
      </w:tr>
      <w:tr w:rsidR="0043334E" w:rsidRPr="0043334E" w:rsidTr="0043334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76.3%</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97%</w:t>
            </w:r>
          </w:p>
        </w:tc>
      </w:tr>
      <w:tr w:rsidR="0043334E" w:rsidRPr="0043334E" w:rsidTr="0043334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22.7</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11%</w:t>
            </w:r>
          </w:p>
        </w:tc>
      </w:tr>
      <w:tr w:rsidR="0043334E" w:rsidRPr="0043334E" w:rsidTr="0043334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950</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88%</w:t>
            </w:r>
          </w:p>
        </w:tc>
      </w:tr>
      <w:tr w:rsidR="0043334E" w:rsidRPr="0043334E" w:rsidTr="0043334E">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Child Immunisation( 0 to 11 mnths)</w:t>
            </w:r>
          </w:p>
        </w:tc>
      </w:tr>
      <w:tr w:rsidR="0043334E" w:rsidRPr="0043334E" w:rsidTr="0043334E">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69%</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91%</w:t>
            </w:r>
          </w:p>
        </w:tc>
      </w:tr>
      <w:tr w:rsidR="0043334E" w:rsidRPr="0043334E" w:rsidTr="0043334E">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72%</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95%</w:t>
            </w:r>
          </w:p>
        </w:tc>
      </w:tr>
      <w:tr w:rsidR="0043334E" w:rsidRPr="0043334E" w:rsidTr="0043334E">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20,793</w:t>
            </w:r>
          </w:p>
        </w:tc>
        <w:tc>
          <w:tcPr>
            <w:tcW w:w="2980" w:type="dxa"/>
            <w:tcBorders>
              <w:top w:val="nil"/>
              <w:left w:val="nil"/>
              <w:bottom w:val="single" w:sz="8" w:space="0" w:color="auto"/>
              <w:right w:val="single" w:sz="8" w:space="0" w:color="auto"/>
            </w:tcBorders>
            <w:shd w:val="clear" w:color="000000" w:fill="FFFFFF"/>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87%</w:t>
            </w:r>
          </w:p>
        </w:tc>
      </w:tr>
      <w:tr w:rsidR="0043334E" w:rsidRPr="0043334E" w:rsidTr="0043334E">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Family Planning &amp; Abortions</w:t>
            </w:r>
          </w:p>
        </w:tc>
      </w:tr>
      <w:tr w:rsidR="0043334E" w:rsidRPr="0043334E" w:rsidTr="0043334E">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Family Planning Methods Users</w:t>
            </w:r>
            <w:r>
              <w:rPr>
                <w:rFonts w:ascii="Calibri" w:hAnsi="Calibri"/>
                <w:b/>
                <w:bCs/>
                <w:sz w:val="16"/>
                <w:szCs w:val="16"/>
              </w:rPr>
              <w:t xml:space="preserve">                           </w:t>
            </w:r>
            <w:r w:rsidRPr="0043334E">
              <w:rPr>
                <w:rFonts w:ascii="Calibri" w:hAnsi="Calibri"/>
                <w:b/>
                <w:bCs/>
                <w:sz w:val="16"/>
                <w:szCs w:val="16"/>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21,140</w:t>
            </w:r>
          </w:p>
        </w:tc>
        <w:tc>
          <w:tcPr>
            <w:tcW w:w="298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10,518</w:t>
            </w:r>
          </w:p>
        </w:tc>
      </w:tr>
      <w:tr w:rsidR="0043334E" w:rsidRPr="0043334E" w:rsidTr="0043334E">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106</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465</w:t>
            </w:r>
          </w:p>
        </w:tc>
      </w:tr>
      <w:tr w:rsidR="0043334E" w:rsidRPr="0043334E" w:rsidTr="0043334E">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73</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sz w:val="16"/>
                <w:szCs w:val="16"/>
              </w:rPr>
            </w:pPr>
            <w:r w:rsidRPr="0043334E">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43334E" w:rsidRPr="0043334E" w:rsidRDefault="0043334E" w:rsidP="0043334E">
            <w:pPr>
              <w:jc w:val="center"/>
              <w:rPr>
                <w:rFonts w:ascii="Calibri" w:hAnsi="Calibri"/>
                <w:b/>
                <w:bCs/>
                <w:sz w:val="16"/>
                <w:szCs w:val="16"/>
              </w:rPr>
            </w:pPr>
            <w:r w:rsidRPr="0043334E">
              <w:rPr>
                <w:rFonts w:ascii="Calibri" w:hAnsi="Calibri"/>
                <w:b/>
                <w:bCs/>
                <w:sz w:val="16"/>
                <w:szCs w:val="16"/>
              </w:rPr>
              <w:t>1.7%</w:t>
            </w:r>
          </w:p>
        </w:tc>
      </w:tr>
    </w:tbl>
    <w:p w:rsidR="0043334E" w:rsidRDefault="0043334E" w:rsidP="00D440F0">
      <w:pPr>
        <w:jc w:val="center"/>
      </w:pPr>
    </w:p>
    <w:tbl>
      <w:tblPr>
        <w:tblW w:w="10520" w:type="dxa"/>
        <w:jc w:val="center"/>
        <w:tblInd w:w="93" w:type="dxa"/>
        <w:tblLook w:val="04A0"/>
      </w:tblPr>
      <w:tblGrid>
        <w:gridCol w:w="3580"/>
        <w:gridCol w:w="1760"/>
        <w:gridCol w:w="3560"/>
        <w:gridCol w:w="1620"/>
      </w:tblGrid>
      <w:tr w:rsidR="004D6C0B" w:rsidRPr="004D6C0B" w:rsidTr="004D6C0B">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0B" w:rsidRPr="004D6C0B" w:rsidRDefault="004D6C0B" w:rsidP="004D6C0B">
            <w:pPr>
              <w:jc w:val="center"/>
              <w:rPr>
                <w:rFonts w:ascii="Calibri" w:hAnsi="Calibri"/>
                <w:b/>
                <w:bCs/>
              </w:rPr>
            </w:pPr>
            <w:r w:rsidRPr="004D6C0B">
              <w:rPr>
                <w:rFonts w:ascii="Calibri" w:hAnsi="Calibri"/>
                <w:b/>
                <w:bCs/>
              </w:rPr>
              <w:lastRenderedPageBreak/>
              <w:t>MP-Balaghat-  Key Performance Indicators -Apr'13 to Mar'14</w:t>
            </w:r>
          </w:p>
        </w:tc>
      </w:tr>
      <w:tr w:rsidR="004D6C0B" w:rsidRPr="004D6C0B" w:rsidTr="004D6C0B">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D6C0B" w:rsidRPr="004D6C0B" w:rsidRDefault="004D6C0B" w:rsidP="004D6C0B">
            <w:pPr>
              <w:jc w:val="center"/>
              <w:rPr>
                <w:rFonts w:ascii="Calibri" w:hAnsi="Calibri"/>
                <w:b/>
                <w:bCs/>
                <w:sz w:val="18"/>
                <w:szCs w:val="18"/>
              </w:rPr>
            </w:pPr>
            <w:r w:rsidRPr="004D6C0B">
              <w:rPr>
                <w:rFonts w:ascii="Calibri" w:hAnsi="Calibri"/>
                <w:b/>
                <w:bCs/>
                <w:sz w:val="18"/>
                <w:szCs w:val="18"/>
              </w:rPr>
              <w:t>ANM Related</w:t>
            </w:r>
          </w:p>
        </w:tc>
      </w:tr>
      <w:tr w:rsidR="004D6C0B" w:rsidRPr="004D6C0B" w:rsidTr="004D6C0B">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sz w:val="20"/>
                <w:szCs w:val="20"/>
              </w:rPr>
            </w:pPr>
            <w:r w:rsidRPr="004D6C0B">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66%</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66%</w:t>
            </w:r>
          </w:p>
        </w:tc>
      </w:tr>
      <w:tr w:rsidR="004D6C0B" w:rsidRPr="004D6C0B" w:rsidTr="004D6C0B">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70%</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73%</w:t>
            </w:r>
          </w:p>
        </w:tc>
      </w:tr>
      <w:tr w:rsidR="004D6C0B" w:rsidRPr="004D6C0B" w:rsidTr="004D6C0B">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4.3%</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69%</w:t>
            </w:r>
          </w:p>
        </w:tc>
      </w:tr>
      <w:tr w:rsidR="004D6C0B" w:rsidRPr="004D6C0B" w:rsidTr="004D6C0B">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4D6C0B" w:rsidRPr="004D6C0B" w:rsidRDefault="004D6C0B" w:rsidP="004D6C0B">
            <w:pPr>
              <w:jc w:val="center"/>
              <w:rPr>
                <w:rFonts w:ascii="Calibri" w:hAnsi="Calibri"/>
                <w:b/>
                <w:bCs/>
                <w:sz w:val="20"/>
                <w:szCs w:val="20"/>
              </w:rPr>
            </w:pPr>
            <w:r w:rsidRPr="004D6C0B">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1.3%</w:t>
            </w:r>
          </w:p>
        </w:tc>
        <w:tc>
          <w:tcPr>
            <w:tcW w:w="3560" w:type="dxa"/>
            <w:tcBorders>
              <w:top w:val="nil"/>
              <w:left w:val="nil"/>
              <w:bottom w:val="nil"/>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72%</w:t>
            </w:r>
          </w:p>
        </w:tc>
      </w:tr>
      <w:tr w:rsidR="004D6C0B" w:rsidRPr="004D6C0B" w:rsidTr="004D6C0B">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D6C0B" w:rsidRPr="004D6C0B" w:rsidRDefault="004D6C0B" w:rsidP="004D6C0B">
            <w:pPr>
              <w:jc w:val="center"/>
              <w:rPr>
                <w:rFonts w:ascii="Calibri" w:hAnsi="Calibri"/>
                <w:b/>
                <w:bCs/>
                <w:sz w:val="18"/>
                <w:szCs w:val="18"/>
              </w:rPr>
            </w:pPr>
            <w:r w:rsidRPr="004D6C0B">
              <w:rPr>
                <w:rFonts w:ascii="Calibri" w:hAnsi="Calibri"/>
                <w:b/>
                <w:bCs/>
                <w:sz w:val="18"/>
                <w:szCs w:val="18"/>
              </w:rPr>
              <w:t>ASHA Related</w:t>
            </w:r>
          </w:p>
        </w:tc>
      </w:tr>
      <w:tr w:rsidR="004D6C0B" w:rsidRPr="004D6C0B" w:rsidTr="004D6C0B">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74%</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79%</w:t>
            </w:r>
          </w:p>
        </w:tc>
      </w:tr>
      <w:tr w:rsidR="004D6C0B" w:rsidRPr="004D6C0B" w:rsidTr="004D6C0B">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11%</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84%</w:t>
            </w:r>
          </w:p>
        </w:tc>
      </w:tr>
      <w:tr w:rsidR="004D6C0B" w:rsidRPr="004D6C0B" w:rsidTr="004D6C0B">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56%</w:t>
            </w:r>
          </w:p>
        </w:tc>
        <w:tc>
          <w:tcPr>
            <w:tcW w:w="3560" w:type="dxa"/>
            <w:tcBorders>
              <w:top w:val="nil"/>
              <w:left w:val="nil"/>
              <w:bottom w:val="nil"/>
              <w:right w:val="single" w:sz="4" w:space="0" w:color="auto"/>
            </w:tcBorders>
            <w:shd w:val="clear" w:color="000000" w:fill="F2DDDC"/>
            <w:vAlign w:val="center"/>
            <w:hideMark/>
          </w:tcPr>
          <w:p w:rsidR="004D6C0B" w:rsidRPr="004D6C0B" w:rsidRDefault="004D6C0B" w:rsidP="004D6C0B">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4D6C0B" w:rsidRPr="004D6C0B" w:rsidRDefault="004D6C0B" w:rsidP="004D6C0B">
            <w:pPr>
              <w:jc w:val="center"/>
              <w:rPr>
                <w:rFonts w:ascii="Calibri" w:hAnsi="Calibri"/>
                <w:sz w:val="20"/>
                <w:szCs w:val="20"/>
              </w:rPr>
            </w:pPr>
          </w:p>
        </w:tc>
      </w:tr>
      <w:tr w:rsidR="004D6C0B" w:rsidRPr="004D6C0B" w:rsidTr="004D6C0B">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D6C0B" w:rsidRPr="004D6C0B" w:rsidRDefault="004D6C0B" w:rsidP="004D6C0B">
            <w:pPr>
              <w:jc w:val="center"/>
              <w:rPr>
                <w:rFonts w:ascii="Calibri" w:hAnsi="Calibri"/>
                <w:b/>
                <w:bCs/>
                <w:sz w:val="18"/>
                <w:szCs w:val="18"/>
              </w:rPr>
            </w:pPr>
            <w:r w:rsidRPr="004D6C0B">
              <w:rPr>
                <w:rFonts w:ascii="Calibri" w:hAnsi="Calibri"/>
                <w:b/>
                <w:bCs/>
                <w:sz w:val="18"/>
                <w:szCs w:val="18"/>
              </w:rPr>
              <w:t>Facility Related</w:t>
            </w:r>
          </w:p>
        </w:tc>
      </w:tr>
      <w:tr w:rsidR="004D6C0B" w:rsidRPr="004D6C0B" w:rsidTr="004D6C0B">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227</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18"/>
                <w:szCs w:val="18"/>
              </w:rPr>
            </w:pPr>
            <w:r w:rsidRPr="004D6C0B">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19.0%</w:t>
            </w:r>
          </w:p>
        </w:tc>
      </w:tr>
      <w:tr w:rsidR="004D6C0B" w:rsidRPr="004D6C0B" w:rsidTr="004D6C0B">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17</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sz w:val="18"/>
                <w:szCs w:val="18"/>
              </w:rPr>
            </w:pPr>
            <w:r w:rsidRPr="004D6C0B">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2.3%</w:t>
            </w:r>
          </w:p>
        </w:tc>
      </w:tr>
      <w:tr w:rsidR="004D6C0B" w:rsidRPr="004D6C0B" w:rsidTr="004D6C0B">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185</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18"/>
                <w:szCs w:val="18"/>
              </w:rPr>
            </w:pPr>
            <w:r w:rsidRPr="004D6C0B">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36</w:t>
            </w:r>
          </w:p>
        </w:tc>
      </w:tr>
      <w:tr w:rsidR="004D6C0B" w:rsidRPr="004D6C0B" w:rsidTr="004D6C0B">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62%</w:t>
            </w:r>
          </w:p>
        </w:tc>
        <w:tc>
          <w:tcPr>
            <w:tcW w:w="3560" w:type="dxa"/>
            <w:tcBorders>
              <w:top w:val="nil"/>
              <w:left w:val="nil"/>
              <w:bottom w:val="single" w:sz="4"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18"/>
                <w:szCs w:val="18"/>
              </w:rPr>
            </w:pPr>
            <w:r w:rsidRPr="004D6C0B">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22.26</w:t>
            </w:r>
          </w:p>
        </w:tc>
      </w:tr>
      <w:tr w:rsidR="004D6C0B" w:rsidRPr="004D6C0B" w:rsidTr="004D6C0B">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4D6C0B" w:rsidRPr="004D6C0B" w:rsidRDefault="004D6C0B" w:rsidP="004D6C0B">
            <w:pPr>
              <w:jc w:val="center"/>
              <w:rPr>
                <w:rFonts w:ascii="Calibri" w:hAnsi="Calibri"/>
                <w:b/>
                <w:bCs/>
                <w:color w:val="000000"/>
                <w:sz w:val="20"/>
                <w:szCs w:val="20"/>
              </w:rPr>
            </w:pPr>
            <w:r w:rsidRPr="004D6C0B">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4D6C0B" w:rsidRPr="004D6C0B" w:rsidRDefault="004D6C0B" w:rsidP="004D6C0B">
            <w:pPr>
              <w:jc w:val="center"/>
              <w:rPr>
                <w:rFonts w:ascii="Calibri" w:hAnsi="Calibri"/>
                <w:sz w:val="20"/>
                <w:szCs w:val="20"/>
              </w:rPr>
            </w:pPr>
            <w:r w:rsidRPr="004D6C0B">
              <w:rPr>
                <w:rFonts w:ascii="Calibri" w:hAnsi="Calibri"/>
                <w:sz w:val="20"/>
                <w:szCs w:val="20"/>
              </w:rPr>
              <w:t>87%</w:t>
            </w:r>
          </w:p>
        </w:tc>
        <w:tc>
          <w:tcPr>
            <w:tcW w:w="3560" w:type="dxa"/>
            <w:tcBorders>
              <w:top w:val="nil"/>
              <w:left w:val="nil"/>
              <w:bottom w:val="single" w:sz="8" w:space="0" w:color="auto"/>
              <w:right w:val="single" w:sz="4" w:space="0" w:color="auto"/>
            </w:tcBorders>
            <w:shd w:val="clear" w:color="000000" w:fill="F2DDDC"/>
            <w:vAlign w:val="center"/>
            <w:hideMark/>
          </w:tcPr>
          <w:p w:rsidR="004D6C0B" w:rsidRPr="004D6C0B" w:rsidRDefault="004D6C0B" w:rsidP="004D6C0B">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4D6C0B" w:rsidRPr="004D6C0B" w:rsidRDefault="004D6C0B" w:rsidP="004D6C0B">
            <w:pPr>
              <w:jc w:val="center"/>
              <w:rPr>
                <w:rFonts w:ascii="Calibri" w:hAnsi="Calibri"/>
                <w:sz w:val="20"/>
                <w:szCs w:val="20"/>
              </w:rPr>
            </w:pPr>
          </w:p>
        </w:tc>
      </w:tr>
    </w:tbl>
    <w:p w:rsidR="0043334E" w:rsidRDefault="0043334E" w:rsidP="00D440F0">
      <w:pPr>
        <w:jc w:val="center"/>
      </w:pPr>
    </w:p>
    <w:p w:rsidR="004C0558" w:rsidRDefault="004C0558" w:rsidP="00D440F0">
      <w:pPr>
        <w:jc w:val="center"/>
      </w:pPr>
    </w:p>
    <w:p w:rsidR="004C0558" w:rsidRDefault="004C0558" w:rsidP="00D440F0">
      <w:pPr>
        <w:jc w:val="center"/>
      </w:pPr>
    </w:p>
    <w:p w:rsidR="00E25E48" w:rsidRDefault="00E25E48"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203434" w:rsidRPr="00203434" w:rsidTr="001B4778">
        <w:trPr>
          <w:trHeight w:val="315"/>
          <w:jc w:val="center"/>
        </w:trPr>
        <w:tc>
          <w:tcPr>
            <w:tcW w:w="780" w:type="dxa"/>
            <w:vMerge w:val="restart"/>
            <w:tcBorders>
              <w:top w:val="single" w:sz="8" w:space="0" w:color="auto"/>
              <w:left w:val="single" w:sz="8" w:space="0" w:color="auto"/>
              <w:right w:val="single" w:sz="8" w:space="0" w:color="auto"/>
            </w:tcBorders>
            <w:shd w:val="clear" w:color="000000" w:fill="F2DDDC"/>
            <w:vAlign w:val="center"/>
            <w:hideMark/>
          </w:tcPr>
          <w:p w:rsidR="00203434" w:rsidRPr="00203434" w:rsidRDefault="00203434" w:rsidP="00203434">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203434" w:rsidRPr="00203434" w:rsidRDefault="00203434" w:rsidP="00203434">
            <w:pPr>
              <w:jc w:val="center"/>
              <w:rPr>
                <w:rFonts w:ascii="Calibri" w:hAnsi="Calibri"/>
                <w:b/>
                <w:bCs/>
                <w:sz w:val="18"/>
                <w:szCs w:val="18"/>
              </w:rPr>
            </w:pPr>
            <w:r w:rsidRPr="00203434">
              <w:rPr>
                <w:rFonts w:ascii="Calibri" w:hAnsi="Calibri"/>
                <w:b/>
                <w:bCs/>
                <w:sz w:val="18"/>
                <w:szCs w:val="18"/>
              </w:rPr>
              <w:t>Demographic Denominators - MP-Balaghat</w:t>
            </w:r>
          </w:p>
        </w:tc>
      </w:tr>
      <w:tr w:rsidR="00203434" w:rsidRPr="00203434" w:rsidTr="001B4778">
        <w:trPr>
          <w:trHeight w:val="945"/>
          <w:jc w:val="center"/>
        </w:trPr>
        <w:tc>
          <w:tcPr>
            <w:tcW w:w="780" w:type="dxa"/>
            <w:vMerge/>
            <w:tcBorders>
              <w:left w:val="single" w:sz="8" w:space="0" w:color="auto"/>
              <w:bottom w:val="single" w:sz="8" w:space="0" w:color="auto"/>
              <w:right w:val="single" w:sz="8" w:space="0" w:color="auto"/>
            </w:tcBorders>
            <w:shd w:val="clear" w:color="000000" w:fill="F2DDDC"/>
            <w:vAlign w:val="center"/>
            <w:hideMark/>
          </w:tcPr>
          <w:p w:rsidR="00203434" w:rsidRPr="00203434" w:rsidRDefault="00203434" w:rsidP="00203434">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IMR of the state - MP-Balaghat</w:t>
            </w:r>
          </w:p>
        </w:tc>
        <w:tc>
          <w:tcPr>
            <w:tcW w:w="1760" w:type="dxa"/>
            <w:tcBorders>
              <w:top w:val="nil"/>
              <w:left w:val="nil"/>
              <w:bottom w:val="single" w:sz="4" w:space="0" w:color="auto"/>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CBR - MP-Balaghat</w:t>
            </w:r>
          </w:p>
        </w:tc>
        <w:tc>
          <w:tcPr>
            <w:tcW w:w="1240" w:type="dxa"/>
            <w:tcBorders>
              <w:top w:val="nil"/>
              <w:left w:val="nil"/>
              <w:bottom w:val="single" w:sz="4" w:space="0" w:color="auto"/>
              <w:right w:val="nil"/>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Eligible Couple ( 17% of total population)</w:t>
            </w:r>
          </w:p>
        </w:tc>
      </w:tr>
      <w:tr w:rsidR="00203434" w:rsidRPr="00203434" w:rsidTr="00203434">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Derived</w:t>
            </w:r>
          </w:p>
        </w:tc>
      </w:tr>
      <w:tr w:rsidR="00203434" w:rsidRPr="00203434" w:rsidTr="00203434">
        <w:trPr>
          <w:trHeight w:val="315"/>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203434" w:rsidRPr="00203434" w:rsidRDefault="00203434" w:rsidP="00203434">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62</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22.7</w:t>
            </w:r>
          </w:p>
        </w:tc>
        <w:tc>
          <w:tcPr>
            <w:tcW w:w="1240" w:type="dxa"/>
            <w:tcBorders>
              <w:top w:val="single" w:sz="4" w:space="0" w:color="auto"/>
              <w:left w:val="nil"/>
              <w:bottom w:val="single" w:sz="8" w:space="0" w:color="auto"/>
              <w:right w:val="nil"/>
            </w:tcBorders>
            <w:shd w:val="clear" w:color="auto" w:fill="auto"/>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1,732,780</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43,268</w:t>
            </w:r>
          </w:p>
        </w:tc>
        <w:tc>
          <w:tcPr>
            <w:tcW w:w="1540" w:type="dxa"/>
            <w:tcBorders>
              <w:top w:val="nil"/>
              <w:left w:val="nil"/>
              <w:bottom w:val="single" w:sz="8" w:space="0" w:color="auto"/>
              <w:right w:val="single" w:sz="4" w:space="0" w:color="auto"/>
            </w:tcBorders>
            <w:shd w:val="clear" w:color="auto" w:fill="auto"/>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40,553</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203434" w:rsidRPr="00203434" w:rsidRDefault="00203434" w:rsidP="00203434">
            <w:pPr>
              <w:jc w:val="center"/>
              <w:rPr>
                <w:rFonts w:ascii="Calibri" w:hAnsi="Calibri"/>
                <w:b/>
                <w:bCs/>
                <w:sz w:val="16"/>
                <w:szCs w:val="16"/>
              </w:rPr>
            </w:pPr>
            <w:r w:rsidRPr="00203434">
              <w:rPr>
                <w:rFonts w:ascii="Calibri" w:hAnsi="Calibri"/>
                <w:b/>
                <w:bCs/>
                <w:sz w:val="16"/>
                <w:szCs w:val="16"/>
              </w:rPr>
              <w:t>294,573</w:t>
            </w:r>
          </w:p>
        </w:tc>
      </w:tr>
    </w:tbl>
    <w:p w:rsidR="004D6C0B" w:rsidRDefault="004D6C0B" w:rsidP="00D440F0">
      <w:pPr>
        <w:jc w:val="center"/>
      </w:pPr>
    </w:p>
    <w:p w:rsidR="00203434" w:rsidRDefault="00203434" w:rsidP="00D440F0">
      <w:pPr>
        <w:jc w:val="center"/>
      </w:pPr>
    </w:p>
    <w:tbl>
      <w:tblPr>
        <w:tblW w:w="10700" w:type="dxa"/>
        <w:jc w:val="center"/>
        <w:tblInd w:w="93" w:type="dxa"/>
        <w:tblLook w:val="04A0"/>
      </w:tblPr>
      <w:tblGrid>
        <w:gridCol w:w="2000"/>
        <w:gridCol w:w="2100"/>
        <w:gridCol w:w="2140"/>
        <w:gridCol w:w="2320"/>
        <w:gridCol w:w="2140"/>
      </w:tblGrid>
      <w:tr w:rsidR="00211A98" w:rsidRPr="00211A98" w:rsidTr="00211A98">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211A98" w:rsidRPr="00211A98" w:rsidRDefault="00211A98" w:rsidP="00211A98">
            <w:pPr>
              <w:jc w:val="center"/>
              <w:rPr>
                <w:rFonts w:ascii="Calibri" w:hAnsi="Calibri"/>
                <w:b/>
                <w:bCs/>
                <w:sz w:val="18"/>
                <w:szCs w:val="18"/>
              </w:rPr>
            </w:pPr>
            <w:r w:rsidRPr="00211A98">
              <w:rPr>
                <w:rFonts w:ascii="Calibri" w:hAnsi="Calibri"/>
                <w:b/>
                <w:bCs/>
                <w:sz w:val="18"/>
                <w:szCs w:val="18"/>
              </w:rPr>
              <w:t>MP-Balaghat- Deliveries - Apr'13 to Mar'14</w:t>
            </w:r>
          </w:p>
        </w:tc>
      </w:tr>
      <w:tr w:rsidR="00211A98" w:rsidRPr="00211A98" w:rsidTr="00211A98">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1,732,780</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40,553</w:t>
            </w:r>
          </w:p>
        </w:tc>
      </w:tr>
      <w:tr w:rsidR="00211A98" w:rsidRPr="00211A98" w:rsidTr="00211A98">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Unreported Deliveries</w:t>
            </w:r>
          </w:p>
        </w:tc>
      </w:tr>
      <w:tr w:rsidR="00211A98" w:rsidRPr="00211A98" w:rsidTr="00211A98">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365</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3,534</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25,230</w:t>
            </w:r>
          </w:p>
        </w:tc>
        <w:tc>
          <w:tcPr>
            <w:tcW w:w="2320" w:type="dxa"/>
            <w:tcBorders>
              <w:top w:val="nil"/>
              <w:left w:val="single" w:sz="4" w:space="0" w:color="auto"/>
              <w:bottom w:val="single" w:sz="4" w:space="0" w:color="auto"/>
              <w:right w:val="nil"/>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29,129</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11,424</w:t>
            </w:r>
          </w:p>
        </w:tc>
      </w:tr>
      <w:tr w:rsidR="00211A98" w:rsidRPr="00211A98" w:rsidTr="00211A98">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211A98" w:rsidRPr="00211A98" w:rsidRDefault="00211A98" w:rsidP="00211A98">
            <w:pPr>
              <w:jc w:val="center"/>
              <w:rPr>
                <w:rFonts w:ascii="Calibri" w:hAnsi="Calibri"/>
                <w:b/>
                <w:bCs/>
                <w:sz w:val="16"/>
                <w:szCs w:val="16"/>
              </w:rPr>
            </w:pPr>
            <w:r w:rsidRPr="00211A98">
              <w:rPr>
                <w:rFonts w:ascii="Calibri" w:hAnsi="Calibri"/>
                <w:b/>
                <w:bCs/>
                <w:sz w:val="16"/>
                <w:szCs w:val="16"/>
              </w:rPr>
              <w:t>Unreported Deliveries %</w:t>
            </w:r>
          </w:p>
        </w:tc>
      </w:tr>
      <w:tr w:rsidR="00211A98" w:rsidRPr="00211A98" w:rsidTr="00211A98">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1%</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9%</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62%</w:t>
            </w:r>
          </w:p>
        </w:tc>
        <w:tc>
          <w:tcPr>
            <w:tcW w:w="2320" w:type="dxa"/>
            <w:tcBorders>
              <w:top w:val="nil"/>
              <w:left w:val="single" w:sz="8" w:space="0" w:color="auto"/>
              <w:bottom w:val="single" w:sz="8" w:space="0" w:color="auto"/>
              <w:right w:val="nil"/>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72%</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211A98" w:rsidRPr="00211A98" w:rsidRDefault="00211A98" w:rsidP="00211A98">
            <w:pPr>
              <w:jc w:val="center"/>
              <w:rPr>
                <w:rFonts w:ascii="Calibri" w:hAnsi="Calibri"/>
                <w:sz w:val="16"/>
                <w:szCs w:val="16"/>
              </w:rPr>
            </w:pPr>
            <w:r w:rsidRPr="00211A98">
              <w:rPr>
                <w:rFonts w:ascii="Calibri" w:hAnsi="Calibri"/>
                <w:sz w:val="16"/>
                <w:szCs w:val="16"/>
              </w:rPr>
              <w:t>28%</w:t>
            </w:r>
          </w:p>
        </w:tc>
      </w:tr>
    </w:tbl>
    <w:p w:rsidR="00203434" w:rsidRDefault="00203434" w:rsidP="00D440F0">
      <w:pPr>
        <w:jc w:val="center"/>
      </w:pPr>
    </w:p>
    <w:p w:rsidR="00211A98" w:rsidRDefault="00211A98" w:rsidP="00D440F0">
      <w:pPr>
        <w:jc w:val="center"/>
      </w:pPr>
    </w:p>
    <w:p w:rsidR="00211A98" w:rsidRDefault="00211A98" w:rsidP="00D440F0">
      <w:pPr>
        <w:jc w:val="center"/>
      </w:pPr>
    </w:p>
    <w:p w:rsidR="00211A98" w:rsidRDefault="00211A98" w:rsidP="00D440F0">
      <w:pPr>
        <w:jc w:val="center"/>
      </w:pPr>
      <w:r w:rsidRPr="00211A98">
        <w:drawing>
          <wp:inline distT="0" distB="0" distL="0" distR="0">
            <wp:extent cx="6438900" cy="3600450"/>
            <wp:effectExtent l="57150" t="0" r="57150" b="762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211A98" w:rsidRDefault="00211A98" w:rsidP="00D440F0">
      <w:pPr>
        <w:jc w:val="center"/>
      </w:pPr>
      <w:r w:rsidRPr="00211A98">
        <w:lastRenderedPageBreak/>
        <w:drawing>
          <wp:inline distT="0" distB="0" distL="0" distR="0">
            <wp:extent cx="6496050" cy="2828925"/>
            <wp:effectExtent l="57150" t="0" r="57150"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1A98" w:rsidRDefault="00211A98" w:rsidP="00D440F0">
      <w:pPr>
        <w:jc w:val="center"/>
      </w:pPr>
    </w:p>
    <w:tbl>
      <w:tblPr>
        <w:tblW w:w="10400" w:type="dxa"/>
        <w:jc w:val="center"/>
        <w:tblInd w:w="93" w:type="dxa"/>
        <w:tblLook w:val="04A0"/>
      </w:tblPr>
      <w:tblGrid>
        <w:gridCol w:w="2900"/>
        <w:gridCol w:w="2560"/>
        <w:gridCol w:w="2540"/>
        <w:gridCol w:w="2400"/>
      </w:tblGrid>
      <w:tr w:rsidR="00D34CE7" w:rsidRPr="00D34CE7" w:rsidTr="00D34CE7">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D34CE7" w:rsidRPr="00D34CE7" w:rsidRDefault="00D34CE7" w:rsidP="00D34CE7">
            <w:pPr>
              <w:jc w:val="center"/>
              <w:rPr>
                <w:rFonts w:ascii="Calibri" w:hAnsi="Calibri"/>
                <w:b/>
                <w:bCs/>
                <w:sz w:val="18"/>
                <w:szCs w:val="18"/>
              </w:rPr>
            </w:pPr>
            <w:r w:rsidRPr="00D34CE7">
              <w:rPr>
                <w:rFonts w:ascii="Calibri" w:hAnsi="Calibri"/>
                <w:b/>
                <w:bCs/>
                <w:sz w:val="18"/>
                <w:szCs w:val="18"/>
              </w:rPr>
              <w:t>MP-Balaghat- C sections &amp; Complicated Deliveries Apr'13 to Mar'14</w:t>
            </w:r>
          </w:p>
        </w:tc>
      </w:tr>
      <w:tr w:rsidR="00D34CE7" w:rsidRPr="00D34CE7" w:rsidTr="00D34CE7">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Total Institutional deliveries</w:t>
            </w:r>
          </w:p>
        </w:tc>
      </w:tr>
      <w:tr w:rsidR="00D34CE7" w:rsidRPr="00D34CE7" w:rsidTr="00D34CE7">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25,153</w:t>
            </w:r>
          </w:p>
        </w:tc>
        <w:tc>
          <w:tcPr>
            <w:tcW w:w="2540" w:type="dxa"/>
            <w:tcBorders>
              <w:top w:val="nil"/>
              <w:left w:val="nil"/>
              <w:bottom w:val="single" w:sz="4" w:space="0" w:color="auto"/>
              <w:right w:val="single" w:sz="8"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77</w:t>
            </w:r>
          </w:p>
        </w:tc>
        <w:tc>
          <w:tcPr>
            <w:tcW w:w="2400" w:type="dxa"/>
            <w:tcBorders>
              <w:top w:val="nil"/>
              <w:left w:val="nil"/>
              <w:bottom w:val="single" w:sz="8" w:space="0" w:color="auto"/>
              <w:right w:val="single" w:sz="8"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25,230</w:t>
            </w:r>
          </w:p>
        </w:tc>
      </w:tr>
      <w:tr w:rsidR="00D34CE7" w:rsidRPr="00D34CE7" w:rsidTr="00D34CE7">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4,019</w:t>
            </w:r>
          </w:p>
        </w:tc>
        <w:tc>
          <w:tcPr>
            <w:tcW w:w="2540" w:type="dxa"/>
            <w:tcBorders>
              <w:top w:val="nil"/>
              <w:left w:val="nil"/>
              <w:bottom w:val="nil"/>
              <w:right w:val="single" w:sz="8"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767</w:t>
            </w:r>
          </w:p>
        </w:tc>
        <w:tc>
          <w:tcPr>
            <w:tcW w:w="2400" w:type="dxa"/>
            <w:tcBorders>
              <w:top w:val="nil"/>
              <w:left w:val="nil"/>
              <w:bottom w:val="nil"/>
              <w:right w:val="single" w:sz="8"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4,786</w:t>
            </w:r>
          </w:p>
        </w:tc>
      </w:tr>
      <w:tr w:rsidR="00D34CE7" w:rsidRPr="00D34CE7" w:rsidTr="00D34CE7">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16.0%</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996.1%</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19.0%</w:t>
            </w:r>
          </w:p>
        </w:tc>
      </w:tr>
      <w:tr w:rsidR="00D34CE7" w:rsidRPr="00D34CE7" w:rsidTr="00D34CE7">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1,690</w:t>
            </w:r>
          </w:p>
        </w:tc>
        <w:tc>
          <w:tcPr>
            <w:tcW w:w="2540" w:type="dxa"/>
            <w:tcBorders>
              <w:top w:val="nil"/>
              <w:left w:val="nil"/>
              <w:bottom w:val="nil"/>
              <w:right w:val="single" w:sz="8"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14</w:t>
            </w:r>
          </w:p>
        </w:tc>
        <w:tc>
          <w:tcPr>
            <w:tcW w:w="2400" w:type="dxa"/>
            <w:tcBorders>
              <w:top w:val="nil"/>
              <w:left w:val="nil"/>
              <w:bottom w:val="nil"/>
              <w:right w:val="single" w:sz="8" w:space="0" w:color="auto"/>
            </w:tcBorders>
            <w:shd w:val="clear" w:color="auto" w:fill="auto"/>
            <w:vAlign w:val="center"/>
            <w:hideMark/>
          </w:tcPr>
          <w:p w:rsidR="00D34CE7" w:rsidRPr="00D34CE7" w:rsidRDefault="00D34CE7" w:rsidP="00D34CE7">
            <w:pPr>
              <w:jc w:val="center"/>
              <w:rPr>
                <w:rFonts w:ascii="Calibri" w:hAnsi="Calibri"/>
                <w:sz w:val="16"/>
                <w:szCs w:val="16"/>
              </w:rPr>
            </w:pPr>
            <w:r w:rsidRPr="00D34CE7">
              <w:rPr>
                <w:rFonts w:ascii="Calibri" w:hAnsi="Calibri"/>
                <w:sz w:val="16"/>
                <w:szCs w:val="16"/>
              </w:rPr>
              <w:t>1,704</w:t>
            </w:r>
          </w:p>
        </w:tc>
      </w:tr>
      <w:tr w:rsidR="00D34CE7" w:rsidRPr="00D34CE7" w:rsidTr="00D34CE7">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6.7%</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18.2%</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34CE7" w:rsidRPr="00D34CE7" w:rsidRDefault="00D34CE7" w:rsidP="00D34CE7">
            <w:pPr>
              <w:jc w:val="center"/>
              <w:rPr>
                <w:rFonts w:ascii="Calibri" w:hAnsi="Calibri"/>
                <w:b/>
                <w:bCs/>
                <w:sz w:val="16"/>
                <w:szCs w:val="16"/>
              </w:rPr>
            </w:pPr>
            <w:r w:rsidRPr="00D34CE7">
              <w:rPr>
                <w:rFonts w:ascii="Calibri" w:hAnsi="Calibri"/>
                <w:b/>
                <w:bCs/>
                <w:sz w:val="16"/>
                <w:szCs w:val="16"/>
              </w:rPr>
              <w:t>6.8%</w:t>
            </w:r>
          </w:p>
        </w:tc>
      </w:tr>
    </w:tbl>
    <w:p w:rsidR="00211A98" w:rsidRDefault="00211A98" w:rsidP="00D440F0">
      <w:pPr>
        <w:jc w:val="center"/>
      </w:pPr>
    </w:p>
    <w:p w:rsidR="00D34CE7" w:rsidRDefault="00D34CE7" w:rsidP="00D440F0">
      <w:pPr>
        <w:jc w:val="center"/>
      </w:pPr>
    </w:p>
    <w:p w:rsidR="00D34CE7" w:rsidRDefault="00D34CE7" w:rsidP="00D440F0">
      <w:pPr>
        <w:jc w:val="center"/>
      </w:pPr>
      <w:r w:rsidRPr="00D34CE7">
        <w:drawing>
          <wp:inline distT="0" distB="0" distL="0" distR="0">
            <wp:extent cx="6391275" cy="299085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58BE" w:rsidRDefault="009058BE" w:rsidP="00D440F0">
      <w:pPr>
        <w:jc w:val="center"/>
      </w:pPr>
    </w:p>
    <w:p w:rsidR="009058BE" w:rsidRDefault="009058BE"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583518" w:rsidRPr="00583518" w:rsidTr="00583518">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83518" w:rsidRPr="00583518" w:rsidRDefault="00583518" w:rsidP="00583518">
            <w:pPr>
              <w:jc w:val="center"/>
              <w:rPr>
                <w:rFonts w:ascii="Calibri" w:hAnsi="Calibri"/>
                <w:b/>
                <w:bCs/>
                <w:sz w:val="18"/>
                <w:szCs w:val="18"/>
              </w:rPr>
            </w:pPr>
            <w:r w:rsidRPr="00583518">
              <w:rPr>
                <w:rFonts w:ascii="Calibri" w:hAnsi="Calibri"/>
                <w:b/>
                <w:bCs/>
                <w:sz w:val="18"/>
                <w:szCs w:val="18"/>
              </w:rPr>
              <w:lastRenderedPageBreak/>
              <w:t>MP-Balaghat-  Facility wise  %ge of C sections &amp; Complicated Deliveries Apr'13 to Mar'14</w:t>
            </w:r>
          </w:p>
        </w:tc>
      </w:tr>
      <w:tr w:rsidR="00583518" w:rsidRPr="00583518" w:rsidTr="00583518">
        <w:trPr>
          <w:trHeight w:val="780"/>
          <w:jc w:val="center"/>
        </w:trPr>
        <w:tc>
          <w:tcPr>
            <w:tcW w:w="2840" w:type="dxa"/>
            <w:tcBorders>
              <w:top w:val="nil"/>
              <w:left w:val="single" w:sz="8" w:space="0" w:color="auto"/>
              <w:bottom w:val="nil"/>
              <w:right w:val="nil"/>
            </w:tcBorders>
            <w:shd w:val="clear" w:color="000000" w:fill="F2DDDC"/>
            <w:vAlign w:val="center"/>
            <w:hideMark/>
          </w:tcPr>
          <w:p w:rsidR="00583518" w:rsidRPr="00583518" w:rsidRDefault="00583518" w:rsidP="00583518">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Total</w:t>
            </w:r>
          </w:p>
        </w:tc>
      </w:tr>
      <w:tr w:rsidR="00583518" w:rsidRPr="00583518" w:rsidTr="00583518">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Complicated deliveries managed</w:t>
            </w:r>
            <w:r>
              <w:rPr>
                <w:rFonts w:ascii="Calibri" w:hAnsi="Calibri"/>
                <w:b/>
                <w:bCs/>
                <w:sz w:val="16"/>
                <w:szCs w:val="16"/>
              </w:rPr>
              <w:t xml:space="preserve">                    </w:t>
            </w:r>
            <w:r w:rsidRPr="00583518">
              <w:rPr>
                <w:rFonts w:ascii="Calibri" w:hAnsi="Calibri"/>
                <w:b/>
                <w:bCs/>
                <w:sz w:val="16"/>
                <w:szCs w:val="16"/>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112</w:t>
            </w:r>
          </w:p>
        </w:tc>
        <w:tc>
          <w:tcPr>
            <w:tcW w:w="128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1,010</w:t>
            </w:r>
          </w:p>
        </w:tc>
        <w:tc>
          <w:tcPr>
            <w:tcW w:w="122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472</w:t>
            </w:r>
          </w:p>
        </w:tc>
        <w:tc>
          <w:tcPr>
            <w:tcW w:w="160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96</w:t>
            </w:r>
          </w:p>
        </w:tc>
        <w:tc>
          <w:tcPr>
            <w:tcW w:w="118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14</w:t>
            </w:r>
          </w:p>
        </w:tc>
        <w:tc>
          <w:tcPr>
            <w:tcW w:w="1220" w:type="dxa"/>
            <w:tcBorders>
              <w:top w:val="nil"/>
              <w:left w:val="nil"/>
              <w:bottom w:val="single" w:sz="4" w:space="0" w:color="auto"/>
              <w:right w:val="single" w:sz="8"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1,704</w:t>
            </w:r>
          </w:p>
        </w:tc>
      </w:tr>
      <w:tr w:rsidR="00583518" w:rsidRPr="00583518" w:rsidTr="00583518">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6.6%</w:t>
            </w:r>
          </w:p>
        </w:tc>
        <w:tc>
          <w:tcPr>
            <w:tcW w:w="128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59.3%</w:t>
            </w:r>
          </w:p>
        </w:tc>
        <w:tc>
          <w:tcPr>
            <w:tcW w:w="122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27.7%</w:t>
            </w:r>
          </w:p>
        </w:tc>
        <w:tc>
          <w:tcPr>
            <w:tcW w:w="160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5.6%</w:t>
            </w:r>
          </w:p>
        </w:tc>
        <w:tc>
          <w:tcPr>
            <w:tcW w:w="118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0.8%</w:t>
            </w:r>
          </w:p>
        </w:tc>
        <w:tc>
          <w:tcPr>
            <w:tcW w:w="1220" w:type="dxa"/>
            <w:tcBorders>
              <w:top w:val="nil"/>
              <w:left w:val="nil"/>
              <w:bottom w:val="single" w:sz="4" w:space="0" w:color="auto"/>
              <w:right w:val="single" w:sz="8" w:space="0" w:color="auto"/>
            </w:tcBorders>
            <w:shd w:val="clear" w:color="000000" w:fill="F2DDDC"/>
            <w:vAlign w:val="center"/>
            <w:hideMark/>
          </w:tcPr>
          <w:p w:rsidR="00583518" w:rsidRPr="00583518" w:rsidRDefault="00583518" w:rsidP="00583518">
            <w:pPr>
              <w:jc w:val="center"/>
              <w:rPr>
                <w:rFonts w:ascii="Calibri" w:hAnsi="Calibri"/>
                <w:sz w:val="16"/>
                <w:szCs w:val="16"/>
              </w:rPr>
            </w:pPr>
          </w:p>
        </w:tc>
      </w:tr>
      <w:tr w:rsidR="00583518" w:rsidRPr="00583518" w:rsidTr="00583518">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6</w:t>
            </w:r>
          </w:p>
        </w:tc>
        <w:tc>
          <w:tcPr>
            <w:tcW w:w="122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3,853</w:t>
            </w:r>
          </w:p>
        </w:tc>
        <w:tc>
          <w:tcPr>
            <w:tcW w:w="160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160</w:t>
            </w:r>
          </w:p>
        </w:tc>
        <w:tc>
          <w:tcPr>
            <w:tcW w:w="1180" w:type="dxa"/>
            <w:tcBorders>
              <w:top w:val="nil"/>
              <w:left w:val="nil"/>
              <w:bottom w:val="single" w:sz="4" w:space="0" w:color="auto"/>
              <w:right w:val="single" w:sz="4"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767</w:t>
            </w:r>
          </w:p>
        </w:tc>
        <w:tc>
          <w:tcPr>
            <w:tcW w:w="1220" w:type="dxa"/>
            <w:tcBorders>
              <w:top w:val="nil"/>
              <w:left w:val="nil"/>
              <w:bottom w:val="single" w:sz="4" w:space="0" w:color="auto"/>
              <w:right w:val="single" w:sz="8" w:space="0" w:color="auto"/>
            </w:tcBorders>
            <w:shd w:val="clear" w:color="auto" w:fill="auto"/>
            <w:vAlign w:val="center"/>
            <w:hideMark/>
          </w:tcPr>
          <w:p w:rsidR="00583518" w:rsidRPr="00583518" w:rsidRDefault="00583518" w:rsidP="00583518">
            <w:pPr>
              <w:jc w:val="center"/>
              <w:rPr>
                <w:rFonts w:ascii="Calibri" w:hAnsi="Calibri"/>
                <w:sz w:val="16"/>
                <w:szCs w:val="16"/>
              </w:rPr>
            </w:pPr>
            <w:r w:rsidRPr="00583518">
              <w:rPr>
                <w:rFonts w:ascii="Calibri" w:hAnsi="Calibri"/>
                <w:sz w:val="16"/>
                <w:szCs w:val="16"/>
              </w:rPr>
              <w:t>4,786</w:t>
            </w:r>
          </w:p>
        </w:tc>
      </w:tr>
      <w:tr w:rsidR="00583518" w:rsidRPr="00583518" w:rsidTr="00583518">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0.1%</w:t>
            </w:r>
          </w:p>
        </w:tc>
        <w:tc>
          <w:tcPr>
            <w:tcW w:w="1220" w:type="dxa"/>
            <w:tcBorders>
              <w:top w:val="nil"/>
              <w:left w:val="nil"/>
              <w:bottom w:val="single" w:sz="8"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80.5%</w:t>
            </w:r>
          </w:p>
        </w:tc>
        <w:tc>
          <w:tcPr>
            <w:tcW w:w="1600" w:type="dxa"/>
            <w:tcBorders>
              <w:top w:val="nil"/>
              <w:left w:val="nil"/>
              <w:bottom w:val="single" w:sz="8"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3.3%</w:t>
            </w:r>
          </w:p>
        </w:tc>
        <w:tc>
          <w:tcPr>
            <w:tcW w:w="1180" w:type="dxa"/>
            <w:tcBorders>
              <w:top w:val="nil"/>
              <w:left w:val="nil"/>
              <w:bottom w:val="single" w:sz="8" w:space="0" w:color="auto"/>
              <w:right w:val="single" w:sz="4" w:space="0" w:color="auto"/>
            </w:tcBorders>
            <w:shd w:val="clear" w:color="auto" w:fill="auto"/>
            <w:vAlign w:val="center"/>
            <w:hideMark/>
          </w:tcPr>
          <w:p w:rsidR="00583518" w:rsidRPr="00583518" w:rsidRDefault="00583518" w:rsidP="00583518">
            <w:pPr>
              <w:jc w:val="center"/>
              <w:rPr>
                <w:rFonts w:ascii="Calibri" w:hAnsi="Calibri"/>
                <w:b/>
                <w:bCs/>
                <w:sz w:val="16"/>
                <w:szCs w:val="16"/>
              </w:rPr>
            </w:pPr>
            <w:r w:rsidRPr="00583518">
              <w:rPr>
                <w:rFonts w:ascii="Calibri" w:hAnsi="Calibri"/>
                <w:b/>
                <w:bCs/>
                <w:sz w:val="16"/>
                <w:szCs w:val="16"/>
              </w:rPr>
              <w:t>16.0%</w:t>
            </w:r>
          </w:p>
        </w:tc>
        <w:tc>
          <w:tcPr>
            <w:tcW w:w="1220" w:type="dxa"/>
            <w:tcBorders>
              <w:top w:val="nil"/>
              <w:left w:val="nil"/>
              <w:bottom w:val="single" w:sz="8" w:space="0" w:color="auto"/>
              <w:right w:val="single" w:sz="8" w:space="0" w:color="auto"/>
            </w:tcBorders>
            <w:shd w:val="clear" w:color="000000" w:fill="F2DDDC"/>
            <w:vAlign w:val="center"/>
            <w:hideMark/>
          </w:tcPr>
          <w:p w:rsidR="00583518" w:rsidRPr="00583518" w:rsidRDefault="00583518" w:rsidP="00583518">
            <w:pPr>
              <w:jc w:val="center"/>
              <w:rPr>
                <w:rFonts w:ascii="Calibri" w:hAnsi="Calibri"/>
                <w:sz w:val="16"/>
                <w:szCs w:val="16"/>
              </w:rPr>
            </w:pPr>
          </w:p>
        </w:tc>
      </w:tr>
    </w:tbl>
    <w:p w:rsidR="00D34CE7" w:rsidRDefault="00D34CE7" w:rsidP="00D440F0">
      <w:pPr>
        <w:jc w:val="center"/>
      </w:pPr>
    </w:p>
    <w:p w:rsidR="00583518" w:rsidRDefault="00583518" w:rsidP="00D440F0">
      <w:pPr>
        <w:jc w:val="center"/>
      </w:pPr>
    </w:p>
    <w:tbl>
      <w:tblPr>
        <w:tblW w:w="10580" w:type="dxa"/>
        <w:jc w:val="center"/>
        <w:tblInd w:w="93" w:type="dxa"/>
        <w:tblLook w:val="04A0"/>
      </w:tblPr>
      <w:tblGrid>
        <w:gridCol w:w="2020"/>
        <w:gridCol w:w="2120"/>
        <w:gridCol w:w="1560"/>
        <w:gridCol w:w="1760"/>
        <w:gridCol w:w="1460"/>
        <w:gridCol w:w="1660"/>
      </w:tblGrid>
      <w:tr w:rsidR="004B2F0B" w:rsidRPr="004B2F0B" w:rsidTr="004B2F0B">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4B2F0B" w:rsidRPr="004B2F0B" w:rsidRDefault="004B2F0B" w:rsidP="004B2F0B">
            <w:pPr>
              <w:jc w:val="center"/>
              <w:rPr>
                <w:rFonts w:ascii="Calibri" w:hAnsi="Calibri"/>
                <w:b/>
                <w:bCs/>
                <w:sz w:val="18"/>
                <w:szCs w:val="18"/>
              </w:rPr>
            </w:pPr>
            <w:r w:rsidRPr="004B2F0B">
              <w:rPr>
                <w:rFonts w:ascii="Calibri" w:hAnsi="Calibri"/>
                <w:b/>
                <w:bCs/>
                <w:sz w:val="18"/>
                <w:szCs w:val="18"/>
              </w:rPr>
              <w:t>MP-Balaghat- Complicated Pregnancies &amp; Deliveries Treated - Apr'13 to Mar'14</w:t>
            </w:r>
          </w:p>
        </w:tc>
      </w:tr>
      <w:tr w:rsidR="004B2F0B" w:rsidRPr="004B2F0B" w:rsidTr="004B2F0B">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20"/>
                <w:szCs w:val="20"/>
              </w:rPr>
            </w:pPr>
            <w:r w:rsidRPr="004B2F0B">
              <w:rPr>
                <w:rFonts w:ascii="Calibri" w:hAnsi="Calibri"/>
                <w:b/>
                <w:bCs/>
                <w:sz w:val="20"/>
                <w:szCs w:val="20"/>
              </w:rPr>
              <w:t>29,129</w:t>
            </w:r>
          </w:p>
        </w:tc>
      </w:tr>
      <w:tr w:rsidR="004B2F0B" w:rsidRPr="004B2F0B" w:rsidTr="004B2F0B">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4B2F0B" w:rsidRPr="004B2F0B" w:rsidRDefault="004B2F0B" w:rsidP="004B2F0B">
            <w:pPr>
              <w:jc w:val="center"/>
              <w:rPr>
                <w:rFonts w:ascii="Calibri" w:hAnsi="Calibri"/>
                <w:sz w:val="16"/>
                <w:szCs w:val="16"/>
              </w:rPr>
            </w:pPr>
          </w:p>
        </w:tc>
      </w:tr>
      <w:tr w:rsidR="004B2F0B" w:rsidRPr="004B2F0B" w:rsidTr="004B2F0B">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Still Births</w:t>
            </w:r>
          </w:p>
        </w:tc>
      </w:tr>
      <w:tr w:rsidR="004B2F0B" w:rsidRPr="004B2F0B" w:rsidTr="004B2F0B">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4B2F0B" w:rsidRPr="004B2F0B" w:rsidRDefault="004B2F0B" w:rsidP="004B2F0B">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4B2F0B" w:rsidRPr="004B2F0B" w:rsidRDefault="004B2F0B" w:rsidP="004B2F0B">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4B2F0B" w:rsidRPr="004B2F0B" w:rsidRDefault="004B2F0B" w:rsidP="004B2F0B">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4B2F0B" w:rsidRPr="004B2F0B" w:rsidRDefault="004B2F0B" w:rsidP="004B2F0B">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4B2F0B" w:rsidRPr="004B2F0B" w:rsidRDefault="004B2F0B" w:rsidP="004B2F0B">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4B2F0B" w:rsidRPr="004B2F0B" w:rsidRDefault="004B2F0B" w:rsidP="004B2F0B">
            <w:pPr>
              <w:jc w:val="center"/>
              <w:rPr>
                <w:rFonts w:ascii="Calibri" w:hAnsi="Calibri"/>
                <w:b/>
                <w:bCs/>
                <w:sz w:val="16"/>
                <w:szCs w:val="16"/>
              </w:rPr>
            </w:pPr>
          </w:p>
        </w:tc>
      </w:tr>
      <w:tr w:rsidR="004B2F0B" w:rsidRPr="004B2F0B" w:rsidTr="004B2F0B">
        <w:trPr>
          <w:trHeight w:val="36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1,704</w:t>
            </w:r>
          </w:p>
        </w:tc>
        <w:tc>
          <w:tcPr>
            <w:tcW w:w="2120" w:type="dxa"/>
            <w:tcBorders>
              <w:top w:val="nil"/>
              <w:left w:val="nil"/>
              <w:bottom w:val="single" w:sz="4"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3.9%</w:t>
            </w:r>
          </w:p>
        </w:tc>
        <w:tc>
          <w:tcPr>
            <w:tcW w:w="1560" w:type="dxa"/>
            <w:tcBorders>
              <w:top w:val="nil"/>
              <w:left w:val="nil"/>
              <w:bottom w:val="single" w:sz="4"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4,786</w:t>
            </w:r>
          </w:p>
        </w:tc>
        <w:tc>
          <w:tcPr>
            <w:tcW w:w="1760" w:type="dxa"/>
            <w:tcBorders>
              <w:top w:val="nil"/>
              <w:left w:val="nil"/>
              <w:bottom w:val="single" w:sz="4"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60</w:t>
            </w:r>
          </w:p>
        </w:tc>
        <w:tc>
          <w:tcPr>
            <w:tcW w:w="1460" w:type="dxa"/>
            <w:tcBorders>
              <w:top w:val="nil"/>
              <w:left w:val="nil"/>
              <w:bottom w:val="single" w:sz="4"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465</w:t>
            </w:r>
          </w:p>
        </w:tc>
        <w:tc>
          <w:tcPr>
            <w:tcW w:w="1660" w:type="dxa"/>
            <w:tcBorders>
              <w:top w:val="nil"/>
              <w:left w:val="nil"/>
              <w:bottom w:val="single" w:sz="4" w:space="0" w:color="auto"/>
              <w:right w:val="single" w:sz="8"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681</w:t>
            </w:r>
          </w:p>
        </w:tc>
      </w:tr>
      <w:tr w:rsidR="004B2F0B" w:rsidRPr="004B2F0B" w:rsidTr="004B2F0B">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No Of severe anemia cases treated</w:t>
            </w:r>
          </w:p>
        </w:tc>
      </w:tr>
      <w:tr w:rsidR="004B2F0B" w:rsidRPr="004B2F0B" w:rsidTr="004B2F0B">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4B2F0B" w:rsidRPr="004B2F0B" w:rsidRDefault="004B2F0B" w:rsidP="004B2F0B">
            <w:pPr>
              <w:jc w:val="center"/>
              <w:rPr>
                <w:rFonts w:ascii="Calibri" w:hAnsi="Calibri"/>
                <w:b/>
                <w:bCs/>
                <w:sz w:val="16"/>
                <w:szCs w:val="16"/>
              </w:rPr>
            </w:pPr>
            <w:r w:rsidRPr="004B2F0B">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4B2F0B" w:rsidRPr="004B2F0B" w:rsidRDefault="004B2F0B" w:rsidP="004B2F0B">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4B2F0B" w:rsidRPr="004B2F0B" w:rsidRDefault="004B2F0B" w:rsidP="004B2F0B">
            <w:pPr>
              <w:jc w:val="center"/>
              <w:rPr>
                <w:rFonts w:ascii="Calibri" w:hAnsi="Calibri"/>
                <w:b/>
                <w:bCs/>
                <w:sz w:val="16"/>
                <w:szCs w:val="16"/>
              </w:rPr>
            </w:pPr>
          </w:p>
        </w:tc>
      </w:tr>
      <w:tr w:rsidR="004B2F0B" w:rsidRPr="004B2F0B" w:rsidTr="004B2F0B">
        <w:trPr>
          <w:trHeight w:val="39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774</w:t>
            </w:r>
          </w:p>
        </w:tc>
        <w:tc>
          <w:tcPr>
            <w:tcW w:w="2120" w:type="dxa"/>
            <w:tcBorders>
              <w:top w:val="nil"/>
              <w:left w:val="nil"/>
              <w:bottom w:val="single" w:sz="8"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548</w:t>
            </w:r>
          </w:p>
        </w:tc>
        <w:tc>
          <w:tcPr>
            <w:tcW w:w="1560" w:type="dxa"/>
            <w:tcBorders>
              <w:top w:val="nil"/>
              <w:left w:val="nil"/>
              <w:bottom w:val="single" w:sz="8"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1,153</w:t>
            </w:r>
          </w:p>
        </w:tc>
        <w:tc>
          <w:tcPr>
            <w:tcW w:w="1760" w:type="dxa"/>
            <w:tcBorders>
              <w:top w:val="nil"/>
              <w:left w:val="nil"/>
              <w:bottom w:val="single" w:sz="8"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792</w:t>
            </w:r>
          </w:p>
        </w:tc>
        <w:tc>
          <w:tcPr>
            <w:tcW w:w="1460" w:type="dxa"/>
            <w:tcBorders>
              <w:top w:val="nil"/>
              <w:left w:val="nil"/>
              <w:bottom w:val="single" w:sz="8" w:space="0" w:color="auto"/>
              <w:right w:val="single" w:sz="4"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3</w:t>
            </w:r>
          </w:p>
        </w:tc>
        <w:tc>
          <w:tcPr>
            <w:tcW w:w="1660" w:type="dxa"/>
            <w:tcBorders>
              <w:top w:val="nil"/>
              <w:left w:val="nil"/>
              <w:bottom w:val="single" w:sz="8" w:space="0" w:color="auto"/>
              <w:right w:val="single" w:sz="8" w:space="0" w:color="auto"/>
            </w:tcBorders>
            <w:shd w:val="clear" w:color="auto" w:fill="auto"/>
            <w:vAlign w:val="center"/>
            <w:hideMark/>
          </w:tcPr>
          <w:p w:rsidR="004B2F0B" w:rsidRPr="004B2F0B" w:rsidRDefault="004B2F0B" w:rsidP="004B2F0B">
            <w:pPr>
              <w:jc w:val="center"/>
              <w:rPr>
                <w:rFonts w:ascii="Calibri" w:hAnsi="Calibri"/>
                <w:sz w:val="16"/>
                <w:szCs w:val="16"/>
              </w:rPr>
            </w:pPr>
            <w:r w:rsidRPr="004B2F0B">
              <w:rPr>
                <w:rFonts w:ascii="Calibri" w:hAnsi="Calibri"/>
                <w:sz w:val="16"/>
                <w:szCs w:val="16"/>
              </w:rPr>
              <w:t>420</w:t>
            </w:r>
          </w:p>
        </w:tc>
      </w:tr>
    </w:tbl>
    <w:p w:rsidR="00583518" w:rsidRDefault="00583518" w:rsidP="00D440F0">
      <w:pPr>
        <w:jc w:val="center"/>
      </w:pPr>
    </w:p>
    <w:p w:rsidR="004B2F0B" w:rsidRDefault="004B2F0B" w:rsidP="00D440F0">
      <w:pPr>
        <w:jc w:val="center"/>
      </w:pPr>
    </w:p>
    <w:p w:rsidR="004B2F0B" w:rsidRDefault="004B2F0B" w:rsidP="00D440F0">
      <w:pPr>
        <w:jc w:val="center"/>
      </w:pPr>
      <w:r w:rsidRPr="004B2F0B">
        <w:drawing>
          <wp:inline distT="0" distB="0" distL="0" distR="0">
            <wp:extent cx="6553200" cy="2990850"/>
            <wp:effectExtent l="57150" t="0" r="57150"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2F0B" w:rsidRDefault="004B2F0B" w:rsidP="00D440F0">
      <w:pPr>
        <w:jc w:val="center"/>
      </w:pPr>
    </w:p>
    <w:p w:rsidR="004B2F0B" w:rsidRDefault="004B2F0B" w:rsidP="00D440F0">
      <w:pPr>
        <w:jc w:val="center"/>
      </w:pPr>
    </w:p>
    <w:p w:rsidR="004B2F0B" w:rsidRDefault="004B2F0B" w:rsidP="00D440F0">
      <w:pPr>
        <w:jc w:val="center"/>
      </w:pPr>
    </w:p>
    <w:tbl>
      <w:tblPr>
        <w:tblW w:w="10280" w:type="dxa"/>
        <w:jc w:val="center"/>
        <w:tblInd w:w="93" w:type="dxa"/>
        <w:tblLook w:val="04A0"/>
      </w:tblPr>
      <w:tblGrid>
        <w:gridCol w:w="3180"/>
        <w:gridCol w:w="2220"/>
        <w:gridCol w:w="2220"/>
        <w:gridCol w:w="2660"/>
      </w:tblGrid>
      <w:tr w:rsidR="00363173" w:rsidRPr="00363173" w:rsidTr="00363173">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363173" w:rsidRPr="00363173" w:rsidRDefault="00363173" w:rsidP="00363173">
            <w:pPr>
              <w:jc w:val="center"/>
              <w:rPr>
                <w:rFonts w:ascii="Calibri" w:hAnsi="Calibri"/>
                <w:b/>
                <w:bCs/>
                <w:sz w:val="18"/>
                <w:szCs w:val="18"/>
              </w:rPr>
            </w:pPr>
            <w:r w:rsidRPr="00363173">
              <w:rPr>
                <w:rFonts w:ascii="Calibri" w:hAnsi="Calibri"/>
                <w:b/>
                <w:bCs/>
                <w:sz w:val="18"/>
                <w:szCs w:val="18"/>
              </w:rPr>
              <w:lastRenderedPageBreak/>
              <w:t>MP-Balaghat - JSY  Paid to Mothers  as % of reported deliveries - Apr'13 to Mar'14</w:t>
            </w:r>
          </w:p>
        </w:tc>
      </w:tr>
      <w:tr w:rsidR="00363173" w:rsidRPr="00363173" w:rsidTr="00363173">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363173" w:rsidRPr="00363173" w:rsidRDefault="00363173" w:rsidP="00363173">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363173" w:rsidRPr="00363173" w:rsidRDefault="00363173" w:rsidP="00363173">
            <w:pPr>
              <w:jc w:val="center"/>
              <w:rPr>
                <w:rFonts w:ascii="Calibri" w:hAnsi="Calibri"/>
                <w:b/>
                <w:bCs/>
                <w:sz w:val="16"/>
                <w:szCs w:val="16"/>
              </w:rPr>
            </w:pPr>
            <w:r w:rsidRPr="00363173">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363173" w:rsidRPr="00363173" w:rsidRDefault="00363173" w:rsidP="00363173">
            <w:pPr>
              <w:jc w:val="center"/>
              <w:rPr>
                <w:rFonts w:ascii="Calibri" w:hAnsi="Calibri"/>
                <w:b/>
                <w:bCs/>
                <w:sz w:val="16"/>
                <w:szCs w:val="16"/>
              </w:rPr>
            </w:pPr>
            <w:r w:rsidRPr="00363173">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363173" w:rsidRPr="00363173" w:rsidRDefault="00363173" w:rsidP="00363173">
            <w:pPr>
              <w:jc w:val="center"/>
              <w:rPr>
                <w:rFonts w:ascii="Calibri" w:hAnsi="Calibri"/>
                <w:b/>
                <w:bCs/>
                <w:sz w:val="16"/>
                <w:szCs w:val="16"/>
              </w:rPr>
            </w:pPr>
            <w:r w:rsidRPr="00363173">
              <w:rPr>
                <w:rFonts w:ascii="Calibri" w:hAnsi="Calibri"/>
                <w:b/>
                <w:bCs/>
                <w:sz w:val="16"/>
                <w:szCs w:val="16"/>
              </w:rPr>
              <w:t>%age JSY paid against reported deliveries</w:t>
            </w:r>
          </w:p>
        </w:tc>
      </w:tr>
      <w:tr w:rsidR="00363173" w:rsidRPr="00363173" w:rsidTr="00363173">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363173" w:rsidRPr="00363173" w:rsidRDefault="00363173" w:rsidP="00363173">
            <w:pPr>
              <w:jc w:val="center"/>
              <w:rPr>
                <w:rFonts w:ascii="Calibri" w:hAnsi="Calibri"/>
                <w:b/>
                <w:bCs/>
                <w:sz w:val="16"/>
                <w:szCs w:val="16"/>
              </w:rPr>
            </w:pPr>
            <w:r w:rsidRPr="00363173">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3,899</w:t>
            </w:r>
          </w:p>
        </w:tc>
        <w:tc>
          <w:tcPr>
            <w:tcW w:w="2220" w:type="dxa"/>
            <w:tcBorders>
              <w:top w:val="nil"/>
              <w:left w:val="nil"/>
              <w:bottom w:val="single" w:sz="4" w:space="0" w:color="auto"/>
              <w:right w:val="single" w:sz="4"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314</w:t>
            </w:r>
          </w:p>
        </w:tc>
        <w:tc>
          <w:tcPr>
            <w:tcW w:w="2660" w:type="dxa"/>
            <w:tcBorders>
              <w:top w:val="nil"/>
              <w:left w:val="nil"/>
              <w:bottom w:val="single" w:sz="4" w:space="0" w:color="auto"/>
              <w:right w:val="single" w:sz="8"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8.05%</w:t>
            </w:r>
          </w:p>
        </w:tc>
      </w:tr>
      <w:tr w:rsidR="00363173" w:rsidRPr="00363173" w:rsidTr="00363173">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363173" w:rsidRPr="00363173" w:rsidRDefault="00363173" w:rsidP="00363173">
            <w:pPr>
              <w:jc w:val="center"/>
              <w:rPr>
                <w:rFonts w:ascii="Calibri" w:hAnsi="Calibri"/>
                <w:b/>
                <w:bCs/>
                <w:sz w:val="16"/>
                <w:szCs w:val="16"/>
              </w:rPr>
            </w:pPr>
            <w:r w:rsidRPr="00363173">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25,153</w:t>
            </w:r>
          </w:p>
        </w:tc>
        <w:tc>
          <w:tcPr>
            <w:tcW w:w="2220" w:type="dxa"/>
            <w:tcBorders>
              <w:top w:val="nil"/>
              <w:left w:val="nil"/>
              <w:bottom w:val="single" w:sz="4" w:space="0" w:color="auto"/>
              <w:right w:val="single" w:sz="4"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21,930</w:t>
            </w:r>
          </w:p>
        </w:tc>
        <w:tc>
          <w:tcPr>
            <w:tcW w:w="2660" w:type="dxa"/>
            <w:tcBorders>
              <w:top w:val="nil"/>
              <w:left w:val="nil"/>
              <w:bottom w:val="single" w:sz="4" w:space="0" w:color="auto"/>
              <w:right w:val="single" w:sz="8"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87.19%</w:t>
            </w:r>
          </w:p>
        </w:tc>
      </w:tr>
      <w:tr w:rsidR="00363173" w:rsidRPr="00363173" w:rsidTr="00363173">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363173" w:rsidRPr="00363173" w:rsidRDefault="00363173" w:rsidP="00363173">
            <w:pPr>
              <w:jc w:val="center"/>
              <w:rPr>
                <w:rFonts w:ascii="Calibri" w:hAnsi="Calibri"/>
                <w:b/>
                <w:bCs/>
                <w:sz w:val="16"/>
                <w:szCs w:val="16"/>
              </w:rPr>
            </w:pPr>
            <w:r w:rsidRPr="00363173">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77</w:t>
            </w:r>
          </w:p>
        </w:tc>
        <w:tc>
          <w:tcPr>
            <w:tcW w:w="2220" w:type="dxa"/>
            <w:tcBorders>
              <w:top w:val="nil"/>
              <w:left w:val="nil"/>
              <w:bottom w:val="single" w:sz="8" w:space="0" w:color="auto"/>
              <w:right w:val="single" w:sz="4"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363173" w:rsidRPr="00363173" w:rsidRDefault="00363173" w:rsidP="00363173">
            <w:pPr>
              <w:jc w:val="center"/>
              <w:rPr>
                <w:rFonts w:ascii="Calibri" w:hAnsi="Calibri"/>
                <w:sz w:val="16"/>
                <w:szCs w:val="16"/>
              </w:rPr>
            </w:pPr>
            <w:r w:rsidRPr="00363173">
              <w:rPr>
                <w:rFonts w:ascii="Calibri" w:hAnsi="Calibri"/>
                <w:sz w:val="16"/>
                <w:szCs w:val="16"/>
              </w:rPr>
              <w:t>0.00%</w:t>
            </w:r>
          </w:p>
        </w:tc>
      </w:tr>
    </w:tbl>
    <w:p w:rsidR="004B2F0B" w:rsidRDefault="004B2F0B" w:rsidP="00D440F0">
      <w:pPr>
        <w:jc w:val="center"/>
      </w:pPr>
    </w:p>
    <w:p w:rsidR="00363173" w:rsidRDefault="00363173" w:rsidP="00D440F0">
      <w:pPr>
        <w:jc w:val="center"/>
      </w:pPr>
    </w:p>
    <w:p w:rsidR="00363173" w:rsidRDefault="005130B8" w:rsidP="00D440F0">
      <w:pPr>
        <w:jc w:val="center"/>
      </w:pPr>
      <w:r w:rsidRPr="005130B8">
        <w:drawing>
          <wp:inline distT="0" distB="0" distL="0" distR="0">
            <wp:extent cx="6581775" cy="2143125"/>
            <wp:effectExtent l="57150" t="0" r="47625" b="666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30B8" w:rsidRDefault="005130B8" w:rsidP="00D440F0">
      <w:pPr>
        <w:jc w:val="center"/>
      </w:pPr>
    </w:p>
    <w:p w:rsidR="005130B8" w:rsidRDefault="00CC312C" w:rsidP="00D440F0">
      <w:pPr>
        <w:jc w:val="center"/>
      </w:pPr>
      <w:r w:rsidRPr="00CC312C">
        <w:drawing>
          <wp:inline distT="0" distB="0" distL="0" distR="0">
            <wp:extent cx="6610350" cy="2257425"/>
            <wp:effectExtent l="57150" t="0" r="57150" b="666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312C" w:rsidRDefault="00CC312C" w:rsidP="00D440F0">
      <w:pPr>
        <w:jc w:val="center"/>
      </w:pPr>
    </w:p>
    <w:tbl>
      <w:tblPr>
        <w:tblW w:w="10400" w:type="dxa"/>
        <w:jc w:val="center"/>
        <w:tblInd w:w="93" w:type="dxa"/>
        <w:tblLook w:val="04A0"/>
      </w:tblPr>
      <w:tblGrid>
        <w:gridCol w:w="4420"/>
        <w:gridCol w:w="3220"/>
        <w:gridCol w:w="2760"/>
      </w:tblGrid>
      <w:tr w:rsidR="00251AA8" w:rsidRPr="00251AA8" w:rsidTr="00251AA8">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51AA8" w:rsidRPr="00251AA8" w:rsidRDefault="00251AA8" w:rsidP="00251AA8">
            <w:pPr>
              <w:jc w:val="center"/>
              <w:rPr>
                <w:rFonts w:ascii="Calibri" w:hAnsi="Calibri"/>
                <w:b/>
                <w:bCs/>
                <w:sz w:val="18"/>
                <w:szCs w:val="18"/>
              </w:rPr>
            </w:pPr>
            <w:r w:rsidRPr="00251AA8">
              <w:rPr>
                <w:rFonts w:ascii="Calibri" w:hAnsi="Calibri"/>
                <w:b/>
                <w:bCs/>
                <w:sz w:val="18"/>
                <w:szCs w:val="18"/>
              </w:rPr>
              <w:t>MP-Balaghat- Management of Complications (Reflecting Quality of ANC )against Reported ANC Registration- Apr'13 to Mar'14</w:t>
            </w:r>
          </w:p>
        </w:tc>
      </w:tr>
      <w:tr w:rsidR="00251AA8" w:rsidRPr="00251AA8" w:rsidTr="00251AA8">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51AA8" w:rsidRPr="00251AA8" w:rsidRDefault="00251AA8" w:rsidP="00251AA8">
            <w:pPr>
              <w:jc w:val="center"/>
              <w:rPr>
                <w:rFonts w:ascii="Calibri" w:hAnsi="Calibri"/>
                <w:b/>
                <w:bCs/>
                <w:sz w:val="16"/>
                <w:szCs w:val="16"/>
              </w:rPr>
            </w:pPr>
            <w:r w:rsidRPr="00251AA8">
              <w:rPr>
                <w:rFonts w:ascii="Calibri" w:hAnsi="Calibri"/>
                <w:b/>
                <w:bCs/>
                <w:sz w:val="16"/>
                <w:szCs w:val="16"/>
              </w:rPr>
              <w:t> </w:t>
            </w:r>
          </w:p>
        </w:tc>
        <w:tc>
          <w:tcPr>
            <w:tcW w:w="3220" w:type="dxa"/>
            <w:tcBorders>
              <w:top w:val="nil"/>
              <w:left w:val="nil"/>
              <w:bottom w:val="single" w:sz="4" w:space="0" w:color="auto"/>
              <w:right w:val="single" w:sz="4" w:space="0" w:color="auto"/>
            </w:tcBorders>
            <w:shd w:val="clear" w:color="000000" w:fill="F2DDDC"/>
            <w:vAlign w:val="center"/>
            <w:hideMark/>
          </w:tcPr>
          <w:p w:rsidR="00251AA8" w:rsidRPr="00251AA8" w:rsidRDefault="00251AA8" w:rsidP="00251AA8">
            <w:pPr>
              <w:jc w:val="center"/>
              <w:rPr>
                <w:rFonts w:ascii="Calibri" w:hAnsi="Calibri"/>
                <w:b/>
                <w:bCs/>
                <w:sz w:val="16"/>
                <w:szCs w:val="16"/>
              </w:rPr>
            </w:pPr>
            <w:r w:rsidRPr="00251AA8">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251AA8" w:rsidRPr="00251AA8" w:rsidRDefault="00251AA8" w:rsidP="00251AA8">
            <w:pPr>
              <w:jc w:val="center"/>
              <w:rPr>
                <w:rFonts w:ascii="Calibri" w:hAnsi="Calibri"/>
                <w:b/>
                <w:bCs/>
                <w:sz w:val="16"/>
                <w:szCs w:val="16"/>
              </w:rPr>
            </w:pPr>
            <w:r w:rsidRPr="00251AA8">
              <w:rPr>
                <w:rFonts w:ascii="Calibri" w:hAnsi="Calibri"/>
                <w:b/>
                <w:bCs/>
                <w:sz w:val="16"/>
                <w:szCs w:val="16"/>
              </w:rPr>
              <w:t>%age against reported ANC Registration</w:t>
            </w:r>
          </w:p>
        </w:tc>
      </w:tr>
      <w:tr w:rsidR="00251AA8" w:rsidRPr="00251AA8" w:rsidTr="00251AA8">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51AA8" w:rsidRPr="00251AA8" w:rsidRDefault="00251AA8" w:rsidP="00251AA8">
            <w:pPr>
              <w:jc w:val="center"/>
              <w:rPr>
                <w:rFonts w:ascii="Calibri" w:hAnsi="Calibri"/>
                <w:b/>
                <w:bCs/>
                <w:sz w:val="16"/>
                <w:szCs w:val="16"/>
              </w:rPr>
            </w:pPr>
            <w:r w:rsidRPr="00251AA8">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1362</w:t>
            </w:r>
          </w:p>
        </w:tc>
        <w:tc>
          <w:tcPr>
            <w:tcW w:w="2760" w:type="dxa"/>
            <w:tcBorders>
              <w:top w:val="nil"/>
              <w:left w:val="nil"/>
              <w:bottom w:val="single" w:sz="4" w:space="0" w:color="auto"/>
              <w:right w:val="single" w:sz="8"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4.3%</w:t>
            </w:r>
          </w:p>
        </w:tc>
      </w:tr>
      <w:tr w:rsidR="00251AA8" w:rsidRPr="00251AA8" w:rsidTr="00251AA8">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51AA8" w:rsidRPr="00251AA8" w:rsidRDefault="00251AA8" w:rsidP="00251AA8">
            <w:pPr>
              <w:jc w:val="center"/>
              <w:rPr>
                <w:rFonts w:ascii="Calibri" w:hAnsi="Calibri"/>
                <w:b/>
                <w:bCs/>
                <w:sz w:val="16"/>
                <w:szCs w:val="16"/>
              </w:rPr>
            </w:pPr>
            <w:r w:rsidRPr="00251AA8">
              <w:rPr>
                <w:rFonts w:ascii="Calibri" w:hAnsi="Calibri"/>
                <w:b/>
                <w:bCs/>
                <w:sz w:val="16"/>
                <w:szCs w:val="16"/>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3</w:t>
            </w:r>
          </w:p>
        </w:tc>
        <w:tc>
          <w:tcPr>
            <w:tcW w:w="2760" w:type="dxa"/>
            <w:tcBorders>
              <w:top w:val="nil"/>
              <w:left w:val="nil"/>
              <w:bottom w:val="single" w:sz="4" w:space="0" w:color="auto"/>
              <w:right w:val="single" w:sz="8"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0.0%</w:t>
            </w:r>
          </w:p>
        </w:tc>
      </w:tr>
      <w:tr w:rsidR="00251AA8" w:rsidRPr="00251AA8" w:rsidTr="00251AA8">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51AA8" w:rsidRPr="00251AA8" w:rsidRDefault="00251AA8" w:rsidP="00251AA8">
            <w:pPr>
              <w:jc w:val="center"/>
              <w:rPr>
                <w:rFonts w:ascii="Calibri" w:hAnsi="Calibri"/>
                <w:b/>
                <w:bCs/>
                <w:sz w:val="16"/>
                <w:szCs w:val="16"/>
              </w:rPr>
            </w:pPr>
            <w:r w:rsidRPr="00251AA8">
              <w:rPr>
                <w:rFonts w:ascii="Calibri" w:hAnsi="Calibri"/>
                <w:b/>
                <w:bCs/>
                <w:sz w:val="16"/>
                <w:szCs w:val="16"/>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14101</w:t>
            </w:r>
          </w:p>
        </w:tc>
        <w:tc>
          <w:tcPr>
            <w:tcW w:w="2760" w:type="dxa"/>
            <w:tcBorders>
              <w:top w:val="nil"/>
              <w:left w:val="nil"/>
              <w:bottom w:val="single" w:sz="4" w:space="0" w:color="auto"/>
              <w:right w:val="single" w:sz="8"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44.5%</w:t>
            </w:r>
          </w:p>
        </w:tc>
      </w:tr>
      <w:tr w:rsidR="00251AA8" w:rsidRPr="00251AA8" w:rsidTr="00251AA8">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251AA8" w:rsidRPr="00251AA8" w:rsidRDefault="00251AA8" w:rsidP="00251AA8">
            <w:pPr>
              <w:jc w:val="center"/>
              <w:rPr>
                <w:rFonts w:ascii="Calibri" w:hAnsi="Calibri"/>
                <w:b/>
                <w:bCs/>
                <w:sz w:val="16"/>
                <w:szCs w:val="16"/>
              </w:rPr>
            </w:pPr>
            <w:r w:rsidRPr="00251AA8">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420</w:t>
            </w:r>
          </w:p>
        </w:tc>
        <w:tc>
          <w:tcPr>
            <w:tcW w:w="2760" w:type="dxa"/>
            <w:tcBorders>
              <w:top w:val="nil"/>
              <w:left w:val="nil"/>
              <w:bottom w:val="single" w:sz="8" w:space="0" w:color="auto"/>
              <w:right w:val="single" w:sz="8" w:space="0" w:color="auto"/>
            </w:tcBorders>
            <w:shd w:val="clear" w:color="auto" w:fill="auto"/>
            <w:vAlign w:val="center"/>
            <w:hideMark/>
          </w:tcPr>
          <w:p w:rsidR="00251AA8" w:rsidRPr="00251AA8" w:rsidRDefault="00251AA8" w:rsidP="00251AA8">
            <w:pPr>
              <w:jc w:val="center"/>
              <w:rPr>
                <w:rFonts w:ascii="Calibri" w:hAnsi="Calibri"/>
                <w:sz w:val="16"/>
                <w:szCs w:val="16"/>
              </w:rPr>
            </w:pPr>
            <w:r w:rsidRPr="00251AA8">
              <w:rPr>
                <w:rFonts w:ascii="Calibri" w:hAnsi="Calibri"/>
                <w:sz w:val="16"/>
                <w:szCs w:val="16"/>
              </w:rPr>
              <w:t>1.3%</w:t>
            </w:r>
          </w:p>
        </w:tc>
      </w:tr>
    </w:tbl>
    <w:p w:rsidR="00CC312C" w:rsidRDefault="00CC312C" w:rsidP="00D440F0">
      <w:pPr>
        <w:jc w:val="center"/>
      </w:pPr>
    </w:p>
    <w:p w:rsidR="00251AA8" w:rsidRDefault="00EA2F4A" w:rsidP="00D440F0">
      <w:pPr>
        <w:jc w:val="center"/>
      </w:pPr>
      <w:r w:rsidRPr="00EA2F4A">
        <w:lastRenderedPageBreak/>
        <w:drawing>
          <wp:inline distT="0" distB="0" distL="0" distR="0">
            <wp:extent cx="6505575" cy="2657475"/>
            <wp:effectExtent l="57150" t="0" r="47625" b="666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2F4A" w:rsidRDefault="00EA2F4A" w:rsidP="00D440F0">
      <w:pPr>
        <w:jc w:val="center"/>
      </w:pPr>
    </w:p>
    <w:p w:rsidR="00EA2F4A" w:rsidRDefault="00EA2F4A" w:rsidP="00D440F0">
      <w:pPr>
        <w:jc w:val="center"/>
      </w:pPr>
    </w:p>
    <w:p w:rsidR="00210126" w:rsidRDefault="00210126" w:rsidP="00D440F0">
      <w:pPr>
        <w:jc w:val="center"/>
      </w:pPr>
      <w:r w:rsidRPr="00210126">
        <w:drawing>
          <wp:inline distT="0" distB="0" distL="0" distR="0">
            <wp:extent cx="6505575" cy="2352675"/>
            <wp:effectExtent l="57150" t="0" r="47625" b="666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0126" w:rsidRDefault="00210126" w:rsidP="00D440F0">
      <w:pPr>
        <w:jc w:val="center"/>
      </w:pPr>
    </w:p>
    <w:p w:rsidR="00210126" w:rsidRDefault="00210126" w:rsidP="00D440F0">
      <w:pPr>
        <w:jc w:val="center"/>
      </w:pPr>
    </w:p>
    <w:p w:rsidR="00210126" w:rsidRDefault="003C2408" w:rsidP="00D440F0">
      <w:pPr>
        <w:jc w:val="center"/>
      </w:pPr>
      <w:r w:rsidRPr="003C2408">
        <w:drawing>
          <wp:inline distT="0" distB="0" distL="0" distR="0">
            <wp:extent cx="6591300" cy="2695575"/>
            <wp:effectExtent l="57150" t="0" r="57150" b="666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2408" w:rsidRDefault="003C2408" w:rsidP="00D440F0">
      <w:pPr>
        <w:jc w:val="center"/>
      </w:pPr>
    </w:p>
    <w:p w:rsidR="003C2408" w:rsidRDefault="003C2408" w:rsidP="00D440F0">
      <w:pPr>
        <w:jc w:val="center"/>
      </w:pPr>
    </w:p>
    <w:p w:rsidR="003C2408" w:rsidRDefault="003C2408" w:rsidP="00D440F0">
      <w:pPr>
        <w:jc w:val="center"/>
      </w:pPr>
    </w:p>
    <w:tbl>
      <w:tblPr>
        <w:tblW w:w="10460" w:type="dxa"/>
        <w:jc w:val="center"/>
        <w:tblInd w:w="93" w:type="dxa"/>
        <w:tblLook w:val="04A0"/>
      </w:tblPr>
      <w:tblGrid>
        <w:gridCol w:w="1720"/>
        <w:gridCol w:w="1780"/>
        <w:gridCol w:w="1740"/>
        <w:gridCol w:w="1680"/>
        <w:gridCol w:w="1760"/>
        <w:gridCol w:w="1780"/>
      </w:tblGrid>
      <w:tr w:rsidR="001F6A8A" w:rsidRPr="001F6A8A" w:rsidTr="001F6A8A">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1F6A8A" w:rsidRPr="001F6A8A" w:rsidRDefault="001F6A8A" w:rsidP="001F6A8A">
            <w:pPr>
              <w:jc w:val="center"/>
              <w:rPr>
                <w:rFonts w:ascii="Calibri" w:hAnsi="Calibri"/>
                <w:b/>
                <w:bCs/>
                <w:sz w:val="18"/>
                <w:szCs w:val="18"/>
              </w:rPr>
            </w:pPr>
            <w:r w:rsidRPr="001F6A8A">
              <w:rPr>
                <w:rFonts w:ascii="Calibri" w:hAnsi="Calibri"/>
                <w:b/>
                <w:bCs/>
                <w:sz w:val="18"/>
                <w:szCs w:val="18"/>
              </w:rPr>
              <w:lastRenderedPageBreak/>
              <w:t>MP-Balaghat - Births - Apr'13 to Mar'14</w:t>
            </w:r>
          </w:p>
        </w:tc>
      </w:tr>
      <w:tr w:rsidR="001F6A8A" w:rsidRPr="001F6A8A" w:rsidTr="001F6A8A">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1F6A8A" w:rsidRPr="001F6A8A" w:rsidRDefault="001F6A8A" w:rsidP="001F6A8A">
            <w:pPr>
              <w:jc w:val="center"/>
              <w:rPr>
                <w:rFonts w:ascii="Calibri" w:hAnsi="Calibri"/>
                <w:b/>
                <w:bCs/>
                <w:sz w:val="16"/>
                <w:szCs w:val="16"/>
              </w:rPr>
            </w:pPr>
            <w:r w:rsidRPr="001F6A8A">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1F6A8A" w:rsidRPr="001F6A8A" w:rsidRDefault="001F6A8A" w:rsidP="001F6A8A">
            <w:pPr>
              <w:jc w:val="center"/>
              <w:rPr>
                <w:rFonts w:ascii="Calibri" w:hAnsi="Calibri"/>
                <w:b/>
                <w:bCs/>
                <w:sz w:val="16"/>
                <w:szCs w:val="16"/>
              </w:rPr>
            </w:pPr>
            <w:r w:rsidRPr="001F6A8A">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1F6A8A" w:rsidRPr="001F6A8A" w:rsidRDefault="001F6A8A" w:rsidP="001F6A8A">
            <w:pPr>
              <w:jc w:val="center"/>
              <w:rPr>
                <w:rFonts w:ascii="Calibri" w:hAnsi="Calibri"/>
                <w:b/>
                <w:bCs/>
                <w:sz w:val="16"/>
                <w:szCs w:val="16"/>
              </w:rPr>
            </w:pPr>
            <w:r w:rsidRPr="001F6A8A">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1F6A8A" w:rsidRPr="001F6A8A" w:rsidRDefault="001F6A8A" w:rsidP="001F6A8A">
            <w:pPr>
              <w:jc w:val="center"/>
              <w:rPr>
                <w:rFonts w:ascii="Calibri" w:hAnsi="Calibri"/>
                <w:b/>
                <w:bCs/>
                <w:sz w:val="16"/>
                <w:szCs w:val="16"/>
              </w:rPr>
            </w:pPr>
            <w:r w:rsidRPr="001F6A8A">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1F6A8A" w:rsidRPr="001F6A8A" w:rsidRDefault="001F6A8A" w:rsidP="001F6A8A">
            <w:pPr>
              <w:jc w:val="center"/>
              <w:rPr>
                <w:rFonts w:ascii="Calibri" w:hAnsi="Calibri"/>
                <w:b/>
                <w:bCs/>
                <w:sz w:val="16"/>
                <w:szCs w:val="16"/>
              </w:rPr>
            </w:pPr>
            <w:r w:rsidRPr="001F6A8A">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1F6A8A" w:rsidRPr="001F6A8A" w:rsidRDefault="001F6A8A" w:rsidP="001F6A8A">
            <w:pPr>
              <w:jc w:val="center"/>
              <w:rPr>
                <w:rFonts w:ascii="Calibri" w:hAnsi="Calibri"/>
                <w:b/>
                <w:bCs/>
                <w:sz w:val="16"/>
                <w:szCs w:val="16"/>
              </w:rPr>
            </w:pPr>
            <w:r w:rsidRPr="001F6A8A">
              <w:rPr>
                <w:rFonts w:ascii="Calibri" w:hAnsi="Calibri"/>
                <w:b/>
                <w:bCs/>
                <w:sz w:val="16"/>
                <w:szCs w:val="16"/>
              </w:rPr>
              <w:t>Still Birth per 1000 live births ( reported)</w:t>
            </w:r>
          </w:p>
        </w:tc>
      </w:tr>
      <w:tr w:rsidR="001F6A8A" w:rsidRPr="001F6A8A" w:rsidTr="001F6A8A">
        <w:trPr>
          <w:trHeight w:val="31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1F6A8A" w:rsidRPr="001F6A8A" w:rsidRDefault="001F6A8A" w:rsidP="001F6A8A">
            <w:pPr>
              <w:jc w:val="center"/>
              <w:rPr>
                <w:rFonts w:ascii="Calibri" w:hAnsi="Calibri"/>
                <w:sz w:val="16"/>
                <w:szCs w:val="16"/>
              </w:rPr>
            </w:pPr>
            <w:r w:rsidRPr="001F6A8A">
              <w:rPr>
                <w:rFonts w:ascii="Calibri" w:hAnsi="Calibri"/>
                <w:sz w:val="16"/>
                <w:szCs w:val="16"/>
              </w:rPr>
              <w:t>15,388</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1F6A8A" w:rsidRPr="001F6A8A" w:rsidRDefault="001F6A8A" w:rsidP="001F6A8A">
            <w:pPr>
              <w:jc w:val="center"/>
              <w:rPr>
                <w:rFonts w:ascii="Calibri" w:hAnsi="Calibri"/>
                <w:sz w:val="16"/>
                <w:szCs w:val="16"/>
              </w:rPr>
            </w:pPr>
            <w:r w:rsidRPr="001F6A8A">
              <w:rPr>
                <w:rFonts w:ascii="Calibri" w:hAnsi="Calibri"/>
                <w:sz w:val="16"/>
                <w:szCs w:val="16"/>
              </w:rPr>
              <w:t>14,613</w:t>
            </w:r>
          </w:p>
        </w:tc>
        <w:tc>
          <w:tcPr>
            <w:tcW w:w="1740" w:type="dxa"/>
            <w:tcBorders>
              <w:top w:val="nil"/>
              <w:left w:val="single" w:sz="8" w:space="0" w:color="000000"/>
              <w:bottom w:val="single" w:sz="8" w:space="0" w:color="auto"/>
              <w:right w:val="nil"/>
            </w:tcBorders>
            <w:shd w:val="clear" w:color="auto" w:fill="auto"/>
            <w:vAlign w:val="center"/>
            <w:hideMark/>
          </w:tcPr>
          <w:p w:rsidR="001F6A8A" w:rsidRPr="001F6A8A" w:rsidRDefault="001F6A8A" w:rsidP="001F6A8A">
            <w:pPr>
              <w:jc w:val="center"/>
              <w:rPr>
                <w:rFonts w:ascii="Calibri" w:hAnsi="Calibri"/>
                <w:sz w:val="16"/>
                <w:szCs w:val="16"/>
              </w:rPr>
            </w:pPr>
            <w:r w:rsidRPr="001F6A8A">
              <w:rPr>
                <w:rFonts w:ascii="Calibri" w:hAnsi="Calibri"/>
                <w:sz w:val="16"/>
                <w:szCs w:val="16"/>
              </w:rPr>
              <w:t>30,001</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1F6A8A" w:rsidRPr="001F6A8A" w:rsidRDefault="001F6A8A" w:rsidP="001F6A8A">
            <w:pPr>
              <w:jc w:val="center"/>
              <w:rPr>
                <w:rFonts w:ascii="Calibri" w:hAnsi="Calibri"/>
                <w:sz w:val="16"/>
                <w:szCs w:val="16"/>
              </w:rPr>
            </w:pPr>
            <w:r w:rsidRPr="001F6A8A">
              <w:rPr>
                <w:rFonts w:ascii="Calibri" w:hAnsi="Calibri"/>
                <w:sz w:val="16"/>
                <w:szCs w:val="16"/>
              </w:rPr>
              <w:t>681</w:t>
            </w:r>
          </w:p>
        </w:tc>
        <w:tc>
          <w:tcPr>
            <w:tcW w:w="1760" w:type="dxa"/>
            <w:tcBorders>
              <w:top w:val="nil"/>
              <w:left w:val="nil"/>
              <w:bottom w:val="single" w:sz="8" w:space="0" w:color="auto"/>
              <w:right w:val="single" w:sz="4" w:space="0" w:color="auto"/>
            </w:tcBorders>
            <w:shd w:val="clear" w:color="auto" w:fill="auto"/>
            <w:vAlign w:val="center"/>
            <w:hideMark/>
          </w:tcPr>
          <w:p w:rsidR="001F6A8A" w:rsidRPr="001F6A8A" w:rsidRDefault="001F6A8A" w:rsidP="001F6A8A">
            <w:pPr>
              <w:jc w:val="center"/>
              <w:rPr>
                <w:rFonts w:ascii="Calibri" w:hAnsi="Calibri"/>
                <w:sz w:val="16"/>
                <w:szCs w:val="16"/>
              </w:rPr>
            </w:pPr>
            <w:r w:rsidRPr="001F6A8A">
              <w:rPr>
                <w:rFonts w:ascii="Calibri" w:hAnsi="Calibri"/>
                <w:sz w:val="16"/>
                <w:szCs w:val="16"/>
              </w:rPr>
              <w:t>950</w:t>
            </w:r>
          </w:p>
        </w:tc>
        <w:tc>
          <w:tcPr>
            <w:tcW w:w="1780" w:type="dxa"/>
            <w:tcBorders>
              <w:top w:val="nil"/>
              <w:left w:val="nil"/>
              <w:bottom w:val="single" w:sz="8" w:space="0" w:color="auto"/>
              <w:right w:val="single" w:sz="8" w:space="0" w:color="auto"/>
            </w:tcBorders>
            <w:shd w:val="clear" w:color="auto" w:fill="auto"/>
            <w:vAlign w:val="center"/>
            <w:hideMark/>
          </w:tcPr>
          <w:p w:rsidR="001F6A8A" w:rsidRPr="001F6A8A" w:rsidRDefault="001F6A8A" w:rsidP="001F6A8A">
            <w:pPr>
              <w:jc w:val="center"/>
              <w:rPr>
                <w:rFonts w:ascii="Calibri" w:hAnsi="Calibri"/>
                <w:sz w:val="16"/>
                <w:szCs w:val="16"/>
              </w:rPr>
            </w:pPr>
            <w:r w:rsidRPr="001F6A8A">
              <w:rPr>
                <w:rFonts w:ascii="Calibri" w:hAnsi="Calibri"/>
                <w:sz w:val="16"/>
                <w:szCs w:val="16"/>
              </w:rPr>
              <w:t>22.7</w:t>
            </w:r>
          </w:p>
        </w:tc>
      </w:tr>
    </w:tbl>
    <w:p w:rsidR="003C2408" w:rsidRDefault="003C2408" w:rsidP="00D440F0">
      <w:pPr>
        <w:jc w:val="center"/>
      </w:pPr>
    </w:p>
    <w:p w:rsidR="001F6A8A" w:rsidRDefault="001F6A8A" w:rsidP="00D440F0">
      <w:pPr>
        <w:jc w:val="center"/>
      </w:pPr>
    </w:p>
    <w:p w:rsidR="001F6A8A" w:rsidRDefault="00906CA9" w:rsidP="00D440F0">
      <w:pPr>
        <w:jc w:val="center"/>
      </w:pPr>
      <w:r w:rsidRPr="00906CA9">
        <w:drawing>
          <wp:inline distT="0" distB="0" distL="0" distR="0">
            <wp:extent cx="6486525" cy="2286000"/>
            <wp:effectExtent l="57150" t="0" r="47625" b="762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7976" w:rsidRDefault="00257976" w:rsidP="00D440F0">
      <w:pPr>
        <w:jc w:val="center"/>
      </w:pPr>
    </w:p>
    <w:p w:rsidR="00257976" w:rsidRDefault="0021671A" w:rsidP="00D440F0">
      <w:pPr>
        <w:jc w:val="center"/>
      </w:pPr>
      <w:r w:rsidRPr="0021671A">
        <w:drawing>
          <wp:inline distT="0" distB="0" distL="0" distR="0">
            <wp:extent cx="6553200" cy="2428875"/>
            <wp:effectExtent l="57150" t="0" r="57150" b="66675"/>
            <wp:docPr id="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671A" w:rsidRDefault="0021671A" w:rsidP="00D440F0">
      <w:pPr>
        <w:jc w:val="center"/>
      </w:pPr>
    </w:p>
    <w:p w:rsidR="0021671A" w:rsidRDefault="0021671A" w:rsidP="00D440F0">
      <w:pPr>
        <w:jc w:val="center"/>
      </w:pPr>
      <w:r w:rsidRPr="0021671A">
        <w:drawing>
          <wp:inline distT="0" distB="0" distL="0" distR="0">
            <wp:extent cx="6591300" cy="2495550"/>
            <wp:effectExtent l="57150" t="0" r="57150" b="762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1671A" w:rsidRDefault="0021671A" w:rsidP="00D440F0">
      <w:pPr>
        <w:jc w:val="center"/>
      </w:pPr>
    </w:p>
    <w:tbl>
      <w:tblPr>
        <w:tblW w:w="5620" w:type="dxa"/>
        <w:jc w:val="center"/>
        <w:tblInd w:w="93" w:type="dxa"/>
        <w:tblLook w:val="04A0"/>
      </w:tblPr>
      <w:tblGrid>
        <w:gridCol w:w="2720"/>
        <w:gridCol w:w="2900"/>
      </w:tblGrid>
      <w:tr w:rsidR="00DD0937" w:rsidRPr="00DD0937" w:rsidTr="00DD0937">
        <w:trPr>
          <w:trHeight w:val="720"/>
          <w:jc w:val="center"/>
        </w:trPr>
        <w:tc>
          <w:tcPr>
            <w:tcW w:w="562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DD0937" w:rsidRPr="00DD0937" w:rsidRDefault="00DD0937" w:rsidP="00DD0937">
            <w:pPr>
              <w:jc w:val="center"/>
              <w:rPr>
                <w:rFonts w:ascii="Calibri" w:hAnsi="Calibri"/>
                <w:b/>
                <w:bCs/>
                <w:sz w:val="18"/>
                <w:szCs w:val="18"/>
              </w:rPr>
            </w:pPr>
            <w:r w:rsidRPr="00DD0937">
              <w:rPr>
                <w:rFonts w:ascii="Calibri" w:hAnsi="Calibri"/>
                <w:b/>
                <w:bCs/>
                <w:sz w:val="18"/>
                <w:szCs w:val="18"/>
              </w:rPr>
              <w:lastRenderedPageBreak/>
              <w:t>MP-Balaghat- Adverse Event Following Immunisation(AEFI) - Apr'13 to Mar'14</w:t>
            </w:r>
          </w:p>
        </w:tc>
      </w:tr>
      <w:tr w:rsidR="00DD0937" w:rsidRPr="00DD0937" w:rsidTr="00DD0937">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Abscess</w:t>
            </w:r>
          </w:p>
        </w:tc>
        <w:tc>
          <w:tcPr>
            <w:tcW w:w="2900" w:type="dxa"/>
            <w:tcBorders>
              <w:top w:val="nil"/>
              <w:left w:val="nil"/>
              <w:bottom w:val="single" w:sz="4" w:space="0" w:color="auto"/>
              <w:right w:val="single" w:sz="8" w:space="0" w:color="auto"/>
            </w:tcBorders>
            <w:shd w:val="clear" w:color="auto" w:fill="auto"/>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22</w:t>
            </w:r>
          </w:p>
        </w:tc>
      </w:tr>
      <w:tr w:rsidR="00DD0937" w:rsidRPr="00DD0937" w:rsidTr="00DD0937">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Death</w:t>
            </w:r>
          </w:p>
        </w:tc>
        <w:tc>
          <w:tcPr>
            <w:tcW w:w="2900" w:type="dxa"/>
            <w:tcBorders>
              <w:top w:val="nil"/>
              <w:left w:val="nil"/>
              <w:bottom w:val="single" w:sz="4" w:space="0" w:color="auto"/>
              <w:right w:val="single" w:sz="8" w:space="0" w:color="auto"/>
            </w:tcBorders>
            <w:shd w:val="clear" w:color="auto" w:fill="auto"/>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w:t>
            </w:r>
          </w:p>
        </w:tc>
      </w:tr>
      <w:tr w:rsidR="00DD0937" w:rsidRPr="00DD0937" w:rsidTr="00DD0937">
        <w:trPr>
          <w:trHeight w:val="360"/>
          <w:jc w:val="center"/>
        </w:trPr>
        <w:tc>
          <w:tcPr>
            <w:tcW w:w="2720" w:type="dxa"/>
            <w:tcBorders>
              <w:top w:val="nil"/>
              <w:left w:val="single" w:sz="8" w:space="0" w:color="auto"/>
              <w:bottom w:val="single" w:sz="8" w:space="0" w:color="auto"/>
              <w:right w:val="single" w:sz="4" w:space="0" w:color="auto"/>
            </w:tcBorders>
            <w:shd w:val="clear" w:color="000000" w:fill="F2DDDC"/>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Others</w:t>
            </w:r>
          </w:p>
        </w:tc>
        <w:tc>
          <w:tcPr>
            <w:tcW w:w="2900" w:type="dxa"/>
            <w:tcBorders>
              <w:top w:val="nil"/>
              <w:left w:val="nil"/>
              <w:bottom w:val="single" w:sz="8" w:space="0" w:color="auto"/>
              <w:right w:val="single" w:sz="8" w:space="0" w:color="auto"/>
            </w:tcBorders>
            <w:shd w:val="clear" w:color="auto" w:fill="auto"/>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252</w:t>
            </w:r>
          </w:p>
        </w:tc>
      </w:tr>
    </w:tbl>
    <w:p w:rsidR="0021671A" w:rsidRDefault="0021671A" w:rsidP="00D440F0">
      <w:pPr>
        <w:jc w:val="center"/>
      </w:pPr>
    </w:p>
    <w:p w:rsidR="00DD0937" w:rsidRDefault="00DD0937" w:rsidP="00D440F0">
      <w:pPr>
        <w:jc w:val="center"/>
      </w:pPr>
    </w:p>
    <w:tbl>
      <w:tblPr>
        <w:tblW w:w="7800" w:type="dxa"/>
        <w:jc w:val="center"/>
        <w:tblInd w:w="93" w:type="dxa"/>
        <w:tblLook w:val="04A0"/>
      </w:tblPr>
      <w:tblGrid>
        <w:gridCol w:w="2460"/>
        <w:gridCol w:w="2420"/>
        <w:gridCol w:w="2920"/>
      </w:tblGrid>
      <w:tr w:rsidR="00DD0937" w:rsidRPr="00DD0937" w:rsidTr="00DD0937">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DD0937" w:rsidRPr="00DD0937" w:rsidRDefault="00DD0937" w:rsidP="00DD0937">
            <w:pPr>
              <w:jc w:val="center"/>
              <w:rPr>
                <w:rFonts w:ascii="Calibri" w:hAnsi="Calibri"/>
                <w:b/>
                <w:bCs/>
                <w:sz w:val="18"/>
                <w:szCs w:val="18"/>
              </w:rPr>
            </w:pPr>
            <w:r w:rsidRPr="00DD0937">
              <w:rPr>
                <w:rFonts w:ascii="Calibri" w:hAnsi="Calibri"/>
                <w:b/>
                <w:bCs/>
                <w:sz w:val="18"/>
                <w:szCs w:val="18"/>
              </w:rPr>
              <w:t>MP-Balaghat- Immunisation - Dropouts - Apr'13 to Mar'14</w:t>
            </w:r>
          </w:p>
        </w:tc>
      </w:tr>
      <w:tr w:rsidR="00DD0937" w:rsidRPr="00DD0937" w:rsidTr="00DD0937">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Dropout from DPT3 to Measles</w:t>
            </w:r>
          </w:p>
        </w:tc>
      </w:tr>
      <w:tr w:rsidR="00DD0937" w:rsidRPr="00DD0937" w:rsidTr="00DD0937">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6%</w:t>
            </w:r>
          </w:p>
        </w:tc>
        <w:tc>
          <w:tcPr>
            <w:tcW w:w="2420" w:type="dxa"/>
            <w:tcBorders>
              <w:top w:val="nil"/>
              <w:left w:val="nil"/>
              <w:bottom w:val="single" w:sz="8" w:space="0" w:color="auto"/>
              <w:right w:val="single" w:sz="4" w:space="0" w:color="auto"/>
            </w:tcBorders>
            <w:shd w:val="clear" w:color="auto" w:fill="auto"/>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11%</w:t>
            </w:r>
          </w:p>
        </w:tc>
        <w:tc>
          <w:tcPr>
            <w:tcW w:w="2920" w:type="dxa"/>
            <w:tcBorders>
              <w:top w:val="nil"/>
              <w:left w:val="nil"/>
              <w:bottom w:val="single" w:sz="8" w:space="0" w:color="auto"/>
              <w:right w:val="single" w:sz="8" w:space="0" w:color="auto"/>
            </w:tcBorders>
            <w:shd w:val="clear" w:color="auto" w:fill="auto"/>
            <w:vAlign w:val="center"/>
            <w:hideMark/>
          </w:tcPr>
          <w:p w:rsidR="00DD0937" w:rsidRPr="00DD0937" w:rsidRDefault="00DD0937" w:rsidP="00DD0937">
            <w:pPr>
              <w:jc w:val="center"/>
              <w:rPr>
                <w:rFonts w:ascii="Calibri" w:hAnsi="Calibri"/>
                <w:b/>
                <w:bCs/>
                <w:sz w:val="16"/>
                <w:szCs w:val="16"/>
              </w:rPr>
            </w:pPr>
            <w:r w:rsidRPr="00DD0937">
              <w:rPr>
                <w:rFonts w:ascii="Calibri" w:hAnsi="Calibri"/>
                <w:b/>
                <w:bCs/>
                <w:sz w:val="16"/>
                <w:szCs w:val="16"/>
              </w:rPr>
              <w:t>5%</w:t>
            </w:r>
          </w:p>
        </w:tc>
      </w:tr>
    </w:tbl>
    <w:p w:rsidR="00DD0937" w:rsidRDefault="00DD0937" w:rsidP="00D440F0">
      <w:pPr>
        <w:jc w:val="center"/>
      </w:pPr>
    </w:p>
    <w:p w:rsidR="00DD0937" w:rsidRDefault="00DD0937" w:rsidP="00D440F0">
      <w:pPr>
        <w:jc w:val="center"/>
      </w:pPr>
    </w:p>
    <w:tbl>
      <w:tblPr>
        <w:tblW w:w="9600" w:type="dxa"/>
        <w:jc w:val="center"/>
        <w:tblInd w:w="93" w:type="dxa"/>
        <w:tblLook w:val="04A0"/>
      </w:tblPr>
      <w:tblGrid>
        <w:gridCol w:w="1960"/>
        <w:gridCol w:w="1560"/>
        <w:gridCol w:w="1900"/>
        <w:gridCol w:w="1780"/>
        <w:gridCol w:w="2400"/>
      </w:tblGrid>
      <w:tr w:rsidR="00796F04" w:rsidRPr="00796F04" w:rsidTr="00796F04">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796F04" w:rsidRPr="00796F04" w:rsidRDefault="00796F04" w:rsidP="00796F04">
            <w:pPr>
              <w:jc w:val="center"/>
              <w:rPr>
                <w:rFonts w:ascii="Calibri" w:hAnsi="Calibri"/>
                <w:b/>
                <w:bCs/>
                <w:sz w:val="18"/>
                <w:szCs w:val="18"/>
              </w:rPr>
            </w:pPr>
            <w:r w:rsidRPr="00796F04">
              <w:rPr>
                <w:rFonts w:ascii="Calibri" w:hAnsi="Calibri"/>
                <w:b/>
                <w:bCs/>
                <w:sz w:val="18"/>
                <w:szCs w:val="18"/>
              </w:rPr>
              <w:t>MP-Balaghat - Abortions - Apr'13 to Mar'14</w:t>
            </w:r>
          </w:p>
        </w:tc>
      </w:tr>
      <w:tr w:rsidR="00796F04" w:rsidRPr="00796F04" w:rsidTr="00796F04">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Abortion Rate against expected pregnancies</w:t>
            </w:r>
          </w:p>
        </w:tc>
      </w:tr>
      <w:tr w:rsidR="00796F04" w:rsidRPr="00796F04" w:rsidTr="00796F04">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106</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73</w:t>
            </w:r>
          </w:p>
        </w:tc>
        <w:tc>
          <w:tcPr>
            <w:tcW w:w="1900" w:type="dxa"/>
            <w:tcBorders>
              <w:top w:val="single" w:sz="8" w:space="0" w:color="auto"/>
              <w:left w:val="nil"/>
              <w:bottom w:val="single" w:sz="8" w:space="0" w:color="auto"/>
              <w:right w:val="nil"/>
            </w:tcBorders>
            <w:shd w:val="clear" w:color="auto" w:fill="auto"/>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465</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b/>
                <w:bCs/>
                <w:sz w:val="20"/>
                <w:szCs w:val="20"/>
              </w:rPr>
            </w:pPr>
            <w:r w:rsidRPr="00796F04">
              <w:rPr>
                <w:rFonts w:ascii="Calibri" w:hAnsi="Calibri"/>
                <w:b/>
                <w:bCs/>
                <w:sz w:val="20"/>
                <w:szCs w:val="20"/>
              </w:rPr>
              <w:t>77</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1.7%</w:t>
            </w:r>
          </w:p>
        </w:tc>
      </w:tr>
    </w:tbl>
    <w:p w:rsidR="00DD0937" w:rsidRDefault="00DD0937" w:rsidP="00D440F0">
      <w:pPr>
        <w:jc w:val="center"/>
      </w:pPr>
    </w:p>
    <w:p w:rsidR="00210126" w:rsidRDefault="00210126" w:rsidP="00D440F0">
      <w:pPr>
        <w:jc w:val="center"/>
      </w:pPr>
    </w:p>
    <w:p w:rsidR="00796F04" w:rsidRDefault="00796F04" w:rsidP="00D440F0">
      <w:pPr>
        <w:jc w:val="center"/>
      </w:pPr>
      <w:r w:rsidRPr="00796F04">
        <w:drawing>
          <wp:inline distT="0" distB="0" distL="0" distR="0">
            <wp:extent cx="6524625" cy="2962275"/>
            <wp:effectExtent l="57150" t="0" r="47625" b="666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6F04" w:rsidRDefault="00796F04" w:rsidP="00D440F0">
      <w:pPr>
        <w:jc w:val="center"/>
      </w:pPr>
    </w:p>
    <w:p w:rsidR="00796F04" w:rsidRDefault="00796F04" w:rsidP="00D440F0">
      <w:pPr>
        <w:jc w:val="center"/>
      </w:pPr>
    </w:p>
    <w:tbl>
      <w:tblPr>
        <w:tblW w:w="10500" w:type="dxa"/>
        <w:jc w:val="center"/>
        <w:tblInd w:w="93" w:type="dxa"/>
        <w:tblLook w:val="04A0"/>
      </w:tblPr>
      <w:tblGrid>
        <w:gridCol w:w="1640"/>
        <w:gridCol w:w="1980"/>
        <w:gridCol w:w="1360"/>
        <w:gridCol w:w="2140"/>
        <w:gridCol w:w="1460"/>
        <w:gridCol w:w="1920"/>
      </w:tblGrid>
      <w:tr w:rsidR="00796F04" w:rsidRPr="00796F04" w:rsidTr="00796F04">
        <w:trPr>
          <w:trHeight w:val="405"/>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796F04" w:rsidRPr="00796F04" w:rsidRDefault="00796F04" w:rsidP="00796F04">
            <w:pPr>
              <w:jc w:val="center"/>
              <w:rPr>
                <w:rFonts w:ascii="Calibri" w:hAnsi="Calibri"/>
                <w:b/>
                <w:bCs/>
                <w:sz w:val="18"/>
                <w:szCs w:val="18"/>
              </w:rPr>
            </w:pPr>
            <w:r w:rsidRPr="00796F04">
              <w:rPr>
                <w:rFonts w:ascii="Calibri" w:hAnsi="Calibri"/>
                <w:b/>
                <w:bCs/>
                <w:sz w:val="18"/>
                <w:szCs w:val="18"/>
              </w:rPr>
              <w:t>MP-Balaghat  - RTI Cases - Apr'13 to Mar'14</w:t>
            </w:r>
          </w:p>
        </w:tc>
      </w:tr>
      <w:tr w:rsidR="00796F04" w:rsidRPr="00796F04" w:rsidTr="00796F04">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796F04" w:rsidRPr="00796F04" w:rsidRDefault="00796F04" w:rsidP="00796F04">
            <w:pPr>
              <w:jc w:val="center"/>
              <w:rPr>
                <w:rFonts w:ascii="Calibri" w:hAnsi="Calibri"/>
                <w:b/>
                <w:bCs/>
                <w:sz w:val="16"/>
                <w:szCs w:val="16"/>
              </w:rPr>
            </w:pPr>
            <w:r w:rsidRPr="00796F04">
              <w:rPr>
                <w:rFonts w:ascii="Calibri" w:hAnsi="Calibri"/>
                <w:b/>
                <w:bCs/>
                <w:sz w:val="16"/>
                <w:szCs w:val="16"/>
              </w:rPr>
              <w:t>Number of wet mount tests conducted</w:t>
            </w:r>
          </w:p>
        </w:tc>
      </w:tr>
      <w:tr w:rsidR="00796F04" w:rsidRPr="00796F04" w:rsidTr="00796F04">
        <w:trPr>
          <w:trHeight w:val="39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sz w:val="16"/>
                <w:szCs w:val="16"/>
              </w:rPr>
            </w:pPr>
            <w:r w:rsidRPr="00796F04">
              <w:rPr>
                <w:rFonts w:ascii="Calibri" w:hAnsi="Calibri"/>
                <w:sz w:val="16"/>
                <w:szCs w:val="16"/>
              </w:rPr>
              <w:t>392,590</w:t>
            </w:r>
          </w:p>
        </w:tc>
        <w:tc>
          <w:tcPr>
            <w:tcW w:w="1980" w:type="dxa"/>
            <w:tcBorders>
              <w:top w:val="nil"/>
              <w:left w:val="nil"/>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sz w:val="16"/>
                <w:szCs w:val="16"/>
              </w:rPr>
            </w:pPr>
            <w:r w:rsidRPr="00796F04">
              <w:rPr>
                <w:rFonts w:ascii="Calibri" w:hAnsi="Calibri"/>
                <w:sz w:val="16"/>
                <w:szCs w:val="16"/>
              </w:rPr>
              <w:t>449</w:t>
            </w:r>
          </w:p>
        </w:tc>
        <w:tc>
          <w:tcPr>
            <w:tcW w:w="1360" w:type="dxa"/>
            <w:tcBorders>
              <w:top w:val="nil"/>
              <w:left w:val="nil"/>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sz w:val="16"/>
                <w:szCs w:val="16"/>
              </w:rPr>
            </w:pPr>
            <w:r w:rsidRPr="00796F04">
              <w:rPr>
                <w:rFonts w:ascii="Calibri" w:hAnsi="Calibri"/>
                <w:sz w:val="16"/>
                <w:szCs w:val="16"/>
              </w:rPr>
              <w:t>343</w:t>
            </w:r>
          </w:p>
        </w:tc>
        <w:tc>
          <w:tcPr>
            <w:tcW w:w="2140" w:type="dxa"/>
            <w:tcBorders>
              <w:top w:val="nil"/>
              <w:left w:val="nil"/>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sz w:val="16"/>
                <w:szCs w:val="16"/>
              </w:rPr>
            </w:pPr>
            <w:r w:rsidRPr="00796F04">
              <w:rPr>
                <w:rFonts w:ascii="Calibri" w:hAnsi="Calibri"/>
                <w:sz w:val="16"/>
                <w:szCs w:val="16"/>
              </w:rPr>
              <w:t>792</w:t>
            </w:r>
          </w:p>
        </w:tc>
        <w:tc>
          <w:tcPr>
            <w:tcW w:w="1460" w:type="dxa"/>
            <w:tcBorders>
              <w:top w:val="nil"/>
              <w:left w:val="nil"/>
              <w:bottom w:val="single" w:sz="8" w:space="0" w:color="auto"/>
              <w:right w:val="single" w:sz="4" w:space="0" w:color="auto"/>
            </w:tcBorders>
            <w:shd w:val="clear" w:color="auto" w:fill="auto"/>
            <w:vAlign w:val="center"/>
            <w:hideMark/>
          </w:tcPr>
          <w:p w:rsidR="00796F04" w:rsidRPr="00796F04" w:rsidRDefault="00796F04" w:rsidP="00796F04">
            <w:pPr>
              <w:jc w:val="center"/>
              <w:rPr>
                <w:rFonts w:ascii="Calibri" w:hAnsi="Calibri"/>
                <w:sz w:val="16"/>
                <w:szCs w:val="16"/>
              </w:rPr>
            </w:pPr>
            <w:r w:rsidRPr="00796F04">
              <w:rPr>
                <w:rFonts w:ascii="Calibri" w:hAnsi="Calibri"/>
                <w:sz w:val="16"/>
                <w:szCs w:val="16"/>
              </w:rPr>
              <w:t>0.202%</w:t>
            </w:r>
          </w:p>
        </w:tc>
        <w:tc>
          <w:tcPr>
            <w:tcW w:w="1920" w:type="dxa"/>
            <w:tcBorders>
              <w:top w:val="nil"/>
              <w:left w:val="nil"/>
              <w:bottom w:val="single" w:sz="8" w:space="0" w:color="auto"/>
              <w:right w:val="single" w:sz="8" w:space="0" w:color="auto"/>
            </w:tcBorders>
            <w:shd w:val="clear" w:color="auto" w:fill="auto"/>
            <w:vAlign w:val="center"/>
            <w:hideMark/>
          </w:tcPr>
          <w:p w:rsidR="00796F04" w:rsidRPr="00796F04" w:rsidRDefault="00796F04" w:rsidP="00796F04">
            <w:pPr>
              <w:jc w:val="center"/>
              <w:rPr>
                <w:rFonts w:ascii="Calibri" w:hAnsi="Calibri"/>
                <w:sz w:val="16"/>
                <w:szCs w:val="16"/>
              </w:rPr>
            </w:pPr>
            <w:r w:rsidRPr="00796F04">
              <w:rPr>
                <w:rFonts w:ascii="Calibri" w:hAnsi="Calibri"/>
                <w:sz w:val="16"/>
                <w:szCs w:val="16"/>
              </w:rPr>
              <w:t>-</w:t>
            </w:r>
          </w:p>
        </w:tc>
      </w:tr>
    </w:tbl>
    <w:p w:rsidR="00796F04" w:rsidRDefault="00796F04" w:rsidP="00D440F0">
      <w:pPr>
        <w:jc w:val="center"/>
      </w:pPr>
    </w:p>
    <w:p w:rsidR="009058BE" w:rsidRDefault="009058BE" w:rsidP="00D440F0">
      <w:pPr>
        <w:jc w:val="center"/>
      </w:pPr>
    </w:p>
    <w:p w:rsidR="009058BE" w:rsidRDefault="009058BE" w:rsidP="00D440F0">
      <w:pPr>
        <w:jc w:val="center"/>
      </w:pPr>
    </w:p>
    <w:p w:rsidR="00796F04" w:rsidRDefault="00796F04" w:rsidP="00D440F0">
      <w:pPr>
        <w:jc w:val="center"/>
      </w:pPr>
      <w:r w:rsidRPr="00796F04">
        <w:lastRenderedPageBreak/>
        <w:drawing>
          <wp:inline distT="0" distB="0" distL="0" distR="0">
            <wp:extent cx="6572250" cy="2657475"/>
            <wp:effectExtent l="57150" t="0" r="57150" b="666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6F04" w:rsidRDefault="00796F04" w:rsidP="00D440F0">
      <w:pPr>
        <w:jc w:val="center"/>
      </w:pPr>
    </w:p>
    <w:p w:rsidR="00BD7603" w:rsidRDefault="00BD7603" w:rsidP="00D440F0">
      <w:pPr>
        <w:jc w:val="center"/>
      </w:pPr>
    </w:p>
    <w:tbl>
      <w:tblPr>
        <w:tblW w:w="10500" w:type="dxa"/>
        <w:jc w:val="center"/>
        <w:tblInd w:w="93" w:type="dxa"/>
        <w:tblLook w:val="04A0"/>
      </w:tblPr>
      <w:tblGrid>
        <w:gridCol w:w="3880"/>
        <w:gridCol w:w="3400"/>
        <w:gridCol w:w="3220"/>
      </w:tblGrid>
      <w:tr w:rsidR="00BD7603" w:rsidRPr="00BD7603" w:rsidTr="00BD7603">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D7603" w:rsidRPr="00BD7603" w:rsidRDefault="00BD7603" w:rsidP="00BD7603">
            <w:pPr>
              <w:jc w:val="center"/>
              <w:rPr>
                <w:rFonts w:ascii="Calibri" w:hAnsi="Calibri"/>
                <w:b/>
                <w:bCs/>
                <w:sz w:val="18"/>
                <w:szCs w:val="18"/>
              </w:rPr>
            </w:pPr>
            <w:r w:rsidRPr="00BD7603">
              <w:rPr>
                <w:rFonts w:ascii="Calibri" w:hAnsi="Calibri"/>
                <w:b/>
                <w:bCs/>
                <w:sz w:val="18"/>
                <w:szCs w:val="18"/>
              </w:rPr>
              <w:t>MP-Balaghat-Sterilisations - Apr'13 to Mar'14</w:t>
            </w:r>
          </w:p>
        </w:tc>
      </w:tr>
      <w:tr w:rsidR="00BD7603" w:rsidRPr="00BD7603" w:rsidTr="00BD7603">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%age of Reported Sterilisation</w:t>
            </w:r>
          </w:p>
        </w:tc>
      </w:tr>
      <w:tr w:rsidR="00BD7603" w:rsidRPr="00BD7603" w:rsidTr="00BD760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10,518</w:t>
            </w:r>
          </w:p>
        </w:tc>
        <w:tc>
          <w:tcPr>
            <w:tcW w:w="322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p>
        </w:tc>
      </w:tr>
      <w:tr w:rsidR="00BD7603" w:rsidRPr="00BD7603" w:rsidTr="00BD760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1,033</w:t>
            </w:r>
          </w:p>
        </w:tc>
        <w:tc>
          <w:tcPr>
            <w:tcW w:w="322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w:t>
            </w:r>
          </w:p>
        </w:tc>
      </w:tr>
      <w:tr w:rsidR="00BD7603" w:rsidRPr="00BD7603" w:rsidTr="00BD760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7,930</w:t>
            </w:r>
          </w:p>
        </w:tc>
        <w:tc>
          <w:tcPr>
            <w:tcW w:w="322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75%</w:t>
            </w:r>
          </w:p>
        </w:tc>
      </w:tr>
      <w:tr w:rsidR="00BD7603" w:rsidRPr="00BD7603" w:rsidTr="00BD760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1,476</w:t>
            </w:r>
          </w:p>
        </w:tc>
        <w:tc>
          <w:tcPr>
            <w:tcW w:w="322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14%</w:t>
            </w:r>
          </w:p>
        </w:tc>
      </w:tr>
      <w:tr w:rsidR="00BD7603" w:rsidRPr="00BD7603" w:rsidTr="00BD760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79</w:t>
            </w:r>
          </w:p>
        </w:tc>
        <w:tc>
          <w:tcPr>
            <w:tcW w:w="322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w:t>
            </w:r>
          </w:p>
        </w:tc>
      </w:tr>
      <w:tr w:rsidR="00BD7603" w:rsidRPr="00BD7603" w:rsidTr="00BD7603">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1,033</w:t>
            </w:r>
          </w:p>
        </w:tc>
        <w:tc>
          <w:tcPr>
            <w:tcW w:w="322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w:t>
            </w:r>
          </w:p>
        </w:tc>
      </w:tr>
      <w:tr w:rsidR="00BD7603" w:rsidRPr="00BD7603" w:rsidTr="00BD7603">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9,485</w:t>
            </w:r>
          </w:p>
        </w:tc>
        <w:tc>
          <w:tcPr>
            <w:tcW w:w="3220" w:type="dxa"/>
            <w:tcBorders>
              <w:top w:val="nil"/>
              <w:left w:val="nil"/>
              <w:bottom w:val="single" w:sz="8"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90%</w:t>
            </w:r>
          </w:p>
        </w:tc>
      </w:tr>
    </w:tbl>
    <w:p w:rsidR="00796F04" w:rsidRDefault="00796F04" w:rsidP="00D440F0">
      <w:pPr>
        <w:jc w:val="center"/>
      </w:pPr>
    </w:p>
    <w:p w:rsidR="00BD7603" w:rsidRDefault="00BD7603" w:rsidP="00D440F0">
      <w:pPr>
        <w:jc w:val="center"/>
      </w:pPr>
    </w:p>
    <w:tbl>
      <w:tblPr>
        <w:tblW w:w="10520" w:type="dxa"/>
        <w:jc w:val="center"/>
        <w:tblInd w:w="93" w:type="dxa"/>
        <w:tblLook w:val="04A0"/>
      </w:tblPr>
      <w:tblGrid>
        <w:gridCol w:w="3680"/>
        <w:gridCol w:w="3200"/>
        <w:gridCol w:w="3640"/>
      </w:tblGrid>
      <w:tr w:rsidR="00BD7603" w:rsidRPr="00BD7603" w:rsidTr="00BD7603">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D7603" w:rsidRPr="00BD7603" w:rsidRDefault="00BD7603" w:rsidP="00BD7603">
            <w:pPr>
              <w:jc w:val="center"/>
              <w:rPr>
                <w:rFonts w:ascii="Calibri" w:hAnsi="Calibri"/>
                <w:b/>
                <w:bCs/>
                <w:sz w:val="18"/>
                <w:szCs w:val="18"/>
              </w:rPr>
            </w:pPr>
            <w:r w:rsidRPr="00BD7603">
              <w:rPr>
                <w:rFonts w:ascii="Calibri" w:hAnsi="Calibri"/>
                <w:b/>
                <w:bCs/>
                <w:sz w:val="18"/>
                <w:szCs w:val="18"/>
              </w:rPr>
              <w:t>MP-Balaghat-FP Methods - Apr'13 to Mar'14</w:t>
            </w:r>
          </w:p>
        </w:tc>
      </w:tr>
      <w:tr w:rsidR="00BD7603" w:rsidRPr="00BD7603" w:rsidTr="00BD7603">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%age of All Reported FP Methods</w:t>
            </w:r>
          </w:p>
        </w:tc>
      </w:tr>
      <w:tr w:rsidR="00BD7603" w:rsidRPr="00BD7603" w:rsidTr="00BD760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21,140</w:t>
            </w:r>
          </w:p>
        </w:tc>
        <w:tc>
          <w:tcPr>
            <w:tcW w:w="364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w:t>
            </w:r>
          </w:p>
        </w:tc>
      </w:tr>
      <w:tr w:rsidR="00BD7603" w:rsidRPr="00BD7603" w:rsidTr="00BD760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10,518</w:t>
            </w:r>
          </w:p>
        </w:tc>
        <w:tc>
          <w:tcPr>
            <w:tcW w:w="364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50%</w:t>
            </w:r>
          </w:p>
        </w:tc>
      </w:tr>
      <w:tr w:rsidR="00BD7603" w:rsidRPr="00BD7603" w:rsidTr="00BD760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6,557</w:t>
            </w:r>
          </w:p>
        </w:tc>
        <w:tc>
          <w:tcPr>
            <w:tcW w:w="364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31%</w:t>
            </w:r>
          </w:p>
        </w:tc>
      </w:tr>
      <w:tr w:rsidR="00BD7603" w:rsidRPr="00BD7603" w:rsidTr="00BD760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2,317</w:t>
            </w:r>
          </w:p>
        </w:tc>
        <w:tc>
          <w:tcPr>
            <w:tcW w:w="364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11%</w:t>
            </w:r>
          </w:p>
        </w:tc>
      </w:tr>
      <w:tr w:rsidR="00BD7603" w:rsidRPr="00BD7603" w:rsidTr="00BD760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1,748</w:t>
            </w:r>
          </w:p>
        </w:tc>
        <w:tc>
          <w:tcPr>
            <w:tcW w:w="364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8%</w:t>
            </w:r>
          </w:p>
        </w:tc>
      </w:tr>
      <w:tr w:rsidR="00BD7603" w:rsidRPr="00BD7603" w:rsidTr="00BD7603">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10,518</w:t>
            </w:r>
          </w:p>
        </w:tc>
        <w:tc>
          <w:tcPr>
            <w:tcW w:w="3640" w:type="dxa"/>
            <w:tcBorders>
              <w:top w:val="nil"/>
              <w:left w:val="nil"/>
              <w:bottom w:val="single" w:sz="4"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50%</w:t>
            </w:r>
          </w:p>
        </w:tc>
      </w:tr>
      <w:tr w:rsidR="00BD7603" w:rsidRPr="00BD7603" w:rsidTr="00BD7603">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BD7603" w:rsidRPr="00BD7603" w:rsidRDefault="00BD7603" w:rsidP="00BD7603">
            <w:pPr>
              <w:jc w:val="center"/>
              <w:rPr>
                <w:rFonts w:ascii="Calibri" w:hAnsi="Calibri"/>
                <w:b/>
                <w:bCs/>
                <w:sz w:val="16"/>
                <w:szCs w:val="16"/>
              </w:rPr>
            </w:pPr>
            <w:r w:rsidRPr="00BD7603">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10,622</w:t>
            </w:r>
          </w:p>
        </w:tc>
        <w:tc>
          <w:tcPr>
            <w:tcW w:w="3640" w:type="dxa"/>
            <w:tcBorders>
              <w:top w:val="nil"/>
              <w:left w:val="nil"/>
              <w:bottom w:val="single" w:sz="8" w:space="0" w:color="auto"/>
              <w:right w:val="single" w:sz="8" w:space="0" w:color="auto"/>
            </w:tcBorders>
            <w:shd w:val="clear" w:color="auto" w:fill="auto"/>
            <w:vAlign w:val="center"/>
            <w:hideMark/>
          </w:tcPr>
          <w:p w:rsidR="00BD7603" w:rsidRPr="00BD7603" w:rsidRDefault="00BD7603" w:rsidP="00BD7603">
            <w:pPr>
              <w:jc w:val="center"/>
              <w:rPr>
                <w:rFonts w:ascii="Calibri" w:hAnsi="Calibri"/>
                <w:sz w:val="16"/>
                <w:szCs w:val="16"/>
              </w:rPr>
            </w:pPr>
            <w:r w:rsidRPr="00BD7603">
              <w:rPr>
                <w:rFonts w:ascii="Calibri" w:hAnsi="Calibri"/>
                <w:sz w:val="16"/>
                <w:szCs w:val="16"/>
              </w:rPr>
              <w:t>50%</w:t>
            </w:r>
          </w:p>
        </w:tc>
      </w:tr>
    </w:tbl>
    <w:p w:rsidR="00BD7603" w:rsidRDefault="00BD7603"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BD7603" w:rsidRDefault="00BD7603" w:rsidP="00D440F0">
      <w:pPr>
        <w:jc w:val="center"/>
      </w:pPr>
      <w:r w:rsidRPr="00BD7603">
        <w:lastRenderedPageBreak/>
        <w:drawing>
          <wp:inline distT="0" distB="0" distL="0" distR="0">
            <wp:extent cx="6505575" cy="2744470"/>
            <wp:effectExtent l="57150" t="0" r="47625" b="749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7603" w:rsidRDefault="00BD7603" w:rsidP="00D440F0">
      <w:pPr>
        <w:jc w:val="center"/>
      </w:pPr>
    </w:p>
    <w:p w:rsidR="00596C53" w:rsidRDefault="00596C53" w:rsidP="00D440F0">
      <w:pPr>
        <w:jc w:val="center"/>
      </w:pPr>
    </w:p>
    <w:p w:rsidR="00287AF9" w:rsidRDefault="00287AF9"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287AF9" w:rsidRPr="00287AF9" w:rsidTr="00287AF9">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287AF9" w:rsidRPr="00287AF9" w:rsidRDefault="00287AF9" w:rsidP="00287AF9">
            <w:pPr>
              <w:jc w:val="center"/>
              <w:rPr>
                <w:rFonts w:ascii="Calibri" w:hAnsi="Calibri"/>
                <w:b/>
                <w:bCs/>
                <w:sz w:val="18"/>
                <w:szCs w:val="18"/>
              </w:rPr>
            </w:pPr>
            <w:r w:rsidRPr="00287AF9">
              <w:rPr>
                <w:rFonts w:ascii="Calibri" w:hAnsi="Calibri"/>
                <w:b/>
                <w:bCs/>
                <w:sz w:val="18"/>
                <w:szCs w:val="18"/>
              </w:rPr>
              <w:t>MP-Balaghat- Facility wise % of Sterilisations &amp; IUDs - Apr'13 to Mar'14</w:t>
            </w:r>
          </w:p>
        </w:tc>
      </w:tr>
      <w:tr w:rsidR="00287AF9" w:rsidRPr="00287AF9" w:rsidTr="00287AF9">
        <w:trPr>
          <w:trHeight w:val="465"/>
          <w:jc w:val="center"/>
        </w:trPr>
        <w:tc>
          <w:tcPr>
            <w:tcW w:w="2300" w:type="dxa"/>
            <w:tcBorders>
              <w:top w:val="nil"/>
              <w:left w:val="single" w:sz="8" w:space="0" w:color="auto"/>
              <w:bottom w:val="nil"/>
              <w:right w:val="nil"/>
            </w:tcBorders>
            <w:shd w:val="clear" w:color="000000" w:fill="F2DDDC"/>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Private Facilities</w:t>
            </w:r>
          </w:p>
        </w:tc>
      </w:tr>
      <w:tr w:rsidR="00287AF9" w:rsidRPr="00287AF9" w:rsidTr="00337F3A">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 </w:t>
            </w:r>
          </w:p>
          <w:p w:rsidR="00287AF9" w:rsidRPr="00287AF9" w:rsidRDefault="00287AF9" w:rsidP="00287AF9">
            <w:pPr>
              <w:jc w:val="center"/>
              <w:rPr>
                <w:rFonts w:ascii="Calibri" w:hAnsi="Calibri"/>
                <w:sz w:val="16"/>
                <w:szCs w:val="16"/>
              </w:rPr>
            </w:pPr>
            <w:r w:rsidRPr="00287AF9">
              <w:rPr>
                <w:rFonts w:ascii="Calibri" w:hAnsi="Calibri"/>
                <w:sz w:val="16"/>
                <w:szCs w:val="16"/>
              </w:rPr>
              <w:t> </w:t>
            </w:r>
          </w:p>
          <w:p w:rsidR="00287AF9" w:rsidRPr="00287AF9" w:rsidRDefault="00287AF9" w:rsidP="00287AF9">
            <w:pPr>
              <w:jc w:val="center"/>
              <w:rPr>
                <w:rFonts w:ascii="Calibri" w:hAnsi="Calibri"/>
                <w:sz w:val="16"/>
                <w:szCs w:val="16"/>
              </w:rPr>
            </w:pPr>
            <w:r w:rsidRPr="00287AF9">
              <w:rPr>
                <w:rFonts w:ascii="Calibri" w:hAnsi="Calibri"/>
                <w:sz w:val="16"/>
                <w:szCs w:val="16"/>
              </w:rPr>
              <w:t> </w:t>
            </w:r>
          </w:p>
          <w:p w:rsidR="00287AF9" w:rsidRPr="00287AF9" w:rsidRDefault="00287AF9" w:rsidP="00287AF9">
            <w:pPr>
              <w:jc w:val="center"/>
              <w:rPr>
                <w:rFonts w:ascii="Calibri" w:hAnsi="Calibri"/>
                <w:sz w:val="16"/>
                <w:szCs w:val="16"/>
              </w:rPr>
            </w:pPr>
            <w:r w:rsidRPr="00287AF9">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4.6%</w:t>
            </w:r>
          </w:p>
        </w:tc>
        <w:tc>
          <w:tcPr>
            <w:tcW w:w="1340" w:type="dxa"/>
            <w:tcBorders>
              <w:top w:val="nil"/>
              <w:left w:val="nil"/>
              <w:bottom w:val="single" w:sz="4" w:space="0" w:color="auto"/>
              <w:right w:val="nil"/>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37.0%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58.4%</w:t>
            </w:r>
          </w:p>
        </w:tc>
        <w:tc>
          <w:tcPr>
            <w:tcW w:w="14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r>
      <w:tr w:rsidR="00287AF9" w:rsidRPr="00287AF9" w:rsidTr="00337F3A">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287AF9" w:rsidRPr="00287AF9" w:rsidRDefault="00287AF9" w:rsidP="00287AF9">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11.5%</w:t>
            </w:r>
          </w:p>
        </w:tc>
        <w:tc>
          <w:tcPr>
            <w:tcW w:w="1340" w:type="dxa"/>
            <w:tcBorders>
              <w:top w:val="nil"/>
              <w:left w:val="nil"/>
              <w:bottom w:val="single" w:sz="4" w:space="0" w:color="auto"/>
              <w:right w:val="nil"/>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78.1%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5.9%</w:t>
            </w:r>
          </w:p>
        </w:tc>
        <w:tc>
          <w:tcPr>
            <w:tcW w:w="14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4.5%</w:t>
            </w:r>
          </w:p>
        </w:tc>
        <w:tc>
          <w:tcPr>
            <w:tcW w:w="1180" w:type="dxa"/>
            <w:tcBorders>
              <w:top w:val="nil"/>
              <w:left w:val="nil"/>
              <w:bottom w:val="single" w:sz="4" w:space="0" w:color="auto"/>
              <w:right w:val="single" w:sz="8"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r>
      <w:tr w:rsidR="00287AF9" w:rsidRPr="00287AF9" w:rsidTr="00337F3A">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287AF9" w:rsidRPr="00287AF9" w:rsidRDefault="00287AF9" w:rsidP="00287AF9">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0.7%</w:t>
            </w:r>
          </w:p>
        </w:tc>
        <w:tc>
          <w:tcPr>
            <w:tcW w:w="1340" w:type="dxa"/>
            <w:tcBorders>
              <w:top w:val="nil"/>
              <w:left w:val="nil"/>
              <w:bottom w:val="single" w:sz="4" w:space="0" w:color="auto"/>
              <w:right w:val="nil"/>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26.6%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72.7%</w:t>
            </w:r>
          </w:p>
        </w:tc>
        <w:tc>
          <w:tcPr>
            <w:tcW w:w="14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r>
      <w:tr w:rsidR="00287AF9" w:rsidRPr="00287AF9" w:rsidTr="00337F3A">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287AF9" w:rsidRPr="00287AF9" w:rsidRDefault="00287AF9" w:rsidP="00287AF9">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6.3%</w:t>
            </w:r>
          </w:p>
        </w:tc>
        <w:tc>
          <w:tcPr>
            <w:tcW w:w="1340" w:type="dxa"/>
            <w:tcBorders>
              <w:top w:val="nil"/>
              <w:left w:val="nil"/>
              <w:bottom w:val="single" w:sz="4" w:space="0" w:color="auto"/>
              <w:right w:val="nil"/>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72.2%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21.5%</w:t>
            </w:r>
          </w:p>
        </w:tc>
        <w:tc>
          <w:tcPr>
            <w:tcW w:w="1480" w:type="dxa"/>
            <w:tcBorders>
              <w:top w:val="nil"/>
              <w:left w:val="nil"/>
              <w:bottom w:val="single" w:sz="4"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r>
      <w:tr w:rsidR="00287AF9" w:rsidRPr="00287AF9" w:rsidTr="00287AF9">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287AF9" w:rsidRPr="00287AF9" w:rsidRDefault="00287AF9" w:rsidP="00287AF9">
            <w:pPr>
              <w:jc w:val="center"/>
              <w:rPr>
                <w:rFonts w:ascii="Calibri" w:hAnsi="Calibri"/>
                <w:b/>
                <w:bCs/>
                <w:sz w:val="16"/>
                <w:szCs w:val="16"/>
              </w:rPr>
            </w:pPr>
            <w:r w:rsidRPr="00287AF9">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54.9%</w:t>
            </w:r>
          </w:p>
        </w:tc>
        <w:tc>
          <w:tcPr>
            <w:tcW w:w="1280" w:type="dxa"/>
            <w:tcBorders>
              <w:top w:val="nil"/>
              <w:left w:val="nil"/>
              <w:bottom w:val="single" w:sz="8"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15.6%</w:t>
            </w:r>
          </w:p>
        </w:tc>
        <w:tc>
          <w:tcPr>
            <w:tcW w:w="1340" w:type="dxa"/>
            <w:tcBorders>
              <w:top w:val="nil"/>
              <w:left w:val="nil"/>
              <w:bottom w:val="single" w:sz="8" w:space="0" w:color="auto"/>
              <w:right w:val="nil"/>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11.0%</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18.5%</w:t>
            </w:r>
          </w:p>
        </w:tc>
        <w:tc>
          <w:tcPr>
            <w:tcW w:w="1480" w:type="dxa"/>
            <w:tcBorders>
              <w:top w:val="nil"/>
              <w:left w:val="nil"/>
              <w:bottom w:val="single" w:sz="8" w:space="0" w:color="auto"/>
              <w:right w:val="single" w:sz="4"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287AF9" w:rsidRPr="00287AF9" w:rsidRDefault="00287AF9" w:rsidP="00287AF9">
            <w:pPr>
              <w:jc w:val="center"/>
              <w:rPr>
                <w:rFonts w:ascii="Calibri" w:hAnsi="Calibri"/>
                <w:sz w:val="16"/>
                <w:szCs w:val="16"/>
              </w:rPr>
            </w:pPr>
            <w:r w:rsidRPr="00287AF9">
              <w:rPr>
                <w:rFonts w:ascii="Calibri" w:hAnsi="Calibri"/>
                <w:sz w:val="16"/>
                <w:szCs w:val="16"/>
              </w:rPr>
              <w:t>0.0%</w:t>
            </w:r>
          </w:p>
        </w:tc>
      </w:tr>
    </w:tbl>
    <w:p w:rsidR="00BD7603" w:rsidRDefault="00BD7603" w:rsidP="00D440F0">
      <w:pPr>
        <w:jc w:val="center"/>
      </w:pPr>
    </w:p>
    <w:p w:rsidR="00287AF9" w:rsidRDefault="00287AF9" w:rsidP="00D440F0">
      <w:pPr>
        <w:jc w:val="center"/>
      </w:pPr>
    </w:p>
    <w:tbl>
      <w:tblPr>
        <w:tblW w:w="10340" w:type="dxa"/>
        <w:jc w:val="center"/>
        <w:tblInd w:w="93" w:type="dxa"/>
        <w:tblLook w:val="04A0"/>
      </w:tblPr>
      <w:tblGrid>
        <w:gridCol w:w="1920"/>
        <w:gridCol w:w="1660"/>
        <w:gridCol w:w="2520"/>
        <w:gridCol w:w="2220"/>
        <w:gridCol w:w="2020"/>
      </w:tblGrid>
      <w:tr w:rsidR="00596C53" w:rsidRPr="00596C53" w:rsidTr="00596C53">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C53" w:rsidRPr="00596C53" w:rsidRDefault="00596C53" w:rsidP="00596C53">
            <w:pPr>
              <w:jc w:val="center"/>
              <w:rPr>
                <w:rFonts w:ascii="Calibri" w:hAnsi="Calibri"/>
                <w:b/>
                <w:bCs/>
                <w:sz w:val="18"/>
                <w:szCs w:val="18"/>
              </w:rPr>
            </w:pPr>
            <w:r w:rsidRPr="00596C53">
              <w:rPr>
                <w:rFonts w:ascii="Calibri" w:hAnsi="Calibri"/>
                <w:b/>
                <w:bCs/>
                <w:sz w:val="18"/>
                <w:szCs w:val="18"/>
              </w:rPr>
              <w:t>MP-Balaghat - AHS-2012 -  Unmet Need  met by reported FP Methods - Apr'13 to Mar'14</w:t>
            </w:r>
          </w:p>
        </w:tc>
      </w:tr>
      <w:tr w:rsidR="00596C53" w:rsidRPr="00596C53" w:rsidTr="00596C53">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96C53" w:rsidRPr="00596C53" w:rsidRDefault="00596C53" w:rsidP="00596C53">
            <w:pPr>
              <w:jc w:val="center"/>
              <w:rPr>
                <w:rFonts w:ascii="Calibri" w:hAnsi="Calibri"/>
                <w:b/>
                <w:bCs/>
                <w:sz w:val="16"/>
                <w:szCs w:val="16"/>
              </w:rPr>
            </w:pPr>
            <w:r w:rsidRPr="00596C53">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596C53" w:rsidRPr="00596C53" w:rsidRDefault="00596C53" w:rsidP="00596C53">
            <w:pPr>
              <w:jc w:val="center"/>
              <w:rPr>
                <w:rFonts w:ascii="Calibri" w:hAnsi="Calibri"/>
                <w:b/>
                <w:bCs/>
                <w:sz w:val="16"/>
                <w:szCs w:val="16"/>
              </w:rPr>
            </w:pPr>
            <w:r w:rsidRPr="00596C53">
              <w:rPr>
                <w:rFonts w:ascii="Calibri" w:hAnsi="Calibri"/>
                <w:b/>
                <w:bCs/>
                <w:sz w:val="16"/>
                <w:szCs w:val="16"/>
              </w:rPr>
              <w:t>294,572.55</w:t>
            </w:r>
          </w:p>
        </w:tc>
        <w:tc>
          <w:tcPr>
            <w:tcW w:w="2520" w:type="dxa"/>
            <w:tcBorders>
              <w:top w:val="nil"/>
              <w:left w:val="nil"/>
              <w:bottom w:val="single" w:sz="4" w:space="0" w:color="auto"/>
              <w:right w:val="single" w:sz="4" w:space="0" w:color="auto"/>
            </w:tcBorders>
            <w:shd w:val="clear" w:color="000000" w:fill="F2DDDC"/>
            <w:vAlign w:val="center"/>
            <w:hideMark/>
          </w:tcPr>
          <w:p w:rsidR="00596C53" w:rsidRPr="00596C53" w:rsidRDefault="00596C53" w:rsidP="00596C53">
            <w:pPr>
              <w:jc w:val="center"/>
              <w:rPr>
                <w:rFonts w:ascii="Calibri" w:hAnsi="Calibri"/>
                <w:b/>
                <w:bCs/>
                <w:sz w:val="16"/>
                <w:szCs w:val="16"/>
              </w:rPr>
            </w:pPr>
            <w:r w:rsidRPr="00596C53">
              <w:rPr>
                <w:rFonts w:ascii="Calibri" w:hAnsi="Calibri"/>
                <w:b/>
                <w:bCs/>
                <w:sz w:val="16"/>
                <w:szCs w:val="16"/>
              </w:rPr>
              <w:t>Eligible Couples  for unmet need- Calculated Using AHS-2012  Unmet need - MP-Balaghat</w:t>
            </w:r>
          </w:p>
        </w:tc>
        <w:tc>
          <w:tcPr>
            <w:tcW w:w="2220" w:type="dxa"/>
            <w:tcBorders>
              <w:top w:val="nil"/>
              <w:left w:val="nil"/>
              <w:bottom w:val="single" w:sz="4" w:space="0" w:color="auto"/>
              <w:right w:val="single" w:sz="4" w:space="0" w:color="auto"/>
            </w:tcBorders>
            <w:shd w:val="clear" w:color="000000" w:fill="F2DDDC"/>
            <w:vAlign w:val="center"/>
            <w:hideMark/>
          </w:tcPr>
          <w:p w:rsidR="00596C53" w:rsidRPr="00596C53" w:rsidRDefault="00596C53" w:rsidP="00596C53">
            <w:pPr>
              <w:jc w:val="center"/>
              <w:rPr>
                <w:rFonts w:ascii="Calibri" w:hAnsi="Calibri"/>
                <w:b/>
                <w:bCs/>
                <w:sz w:val="16"/>
                <w:szCs w:val="16"/>
              </w:rPr>
            </w:pPr>
            <w:r w:rsidRPr="00596C53">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596C53" w:rsidRPr="00596C53" w:rsidRDefault="00596C53" w:rsidP="00596C53">
            <w:pPr>
              <w:jc w:val="center"/>
              <w:rPr>
                <w:rFonts w:ascii="Calibri" w:hAnsi="Calibri"/>
                <w:b/>
                <w:bCs/>
                <w:sz w:val="16"/>
                <w:szCs w:val="16"/>
              </w:rPr>
            </w:pPr>
            <w:r w:rsidRPr="00596C53">
              <w:rPr>
                <w:rFonts w:ascii="Calibri" w:hAnsi="Calibri"/>
                <w:b/>
                <w:bCs/>
                <w:sz w:val="16"/>
                <w:szCs w:val="16"/>
              </w:rPr>
              <w:t>Unmet need met by Reported Family Planning Methods  - Apr'13 to Mar'14</w:t>
            </w:r>
          </w:p>
        </w:tc>
      </w:tr>
      <w:tr w:rsidR="00596C53" w:rsidRPr="00596C53" w:rsidTr="00596C53">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96C53" w:rsidRPr="00596C53" w:rsidRDefault="00596C53" w:rsidP="00596C53">
            <w:pPr>
              <w:jc w:val="center"/>
              <w:rPr>
                <w:rFonts w:ascii="Calibri" w:hAnsi="Calibri"/>
                <w:b/>
                <w:bCs/>
                <w:sz w:val="16"/>
                <w:szCs w:val="16"/>
              </w:rPr>
            </w:pPr>
            <w:r w:rsidRPr="00596C53">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25.3</w:t>
            </w:r>
          </w:p>
        </w:tc>
        <w:tc>
          <w:tcPr>
            <w:tcW w:w="2520" w:type="dxa"/>
            <w:tcBorders>
              <w:top w:val="nil"/>
              <w:left w:val="nil"/>
              <w:bottom w:val="single" w:sz="4"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74,527</w:t>
            </w:r>
          </w:p>
        </w:tc>
        <w:tc>
          <w:tcPr>
            <w:tcW w:w="2220" w:type="dxa"/>
            <w:tcBorders>
              <w:top w:val="nil"/>
              <w:left w:val="nil"/>
              <w:bottom w:val="single" w:sz="4"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21,140</w:t>
            </w:r>
          </w:p>
        </w:tc>
        <w:tc>
          <w:tcPr>
            <w:tcW w:w="2020" w:type="dxa"/>
            <w:tcBorders>
              <w:top w:val="nil"/>
              <w:left w:val="nil"/>
              <w:bottom w:val="single" w:sz="4" w:space="0" w:color="auto"/>
              <w:right w:val="single" w:sz="8"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28%</w:t>
            </w:r>
          </w:p>
        </w:tc>
      </w:tr>
      <w:tr w:rsidR="00596C53" w:rsidRPr="00596C53" w:rsidTr="00596C53">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96C53" w:rsidRPr="00596C53" w:rsidRDefault="00596C53" w:rsidP="00596C53">
            <w:pPr>
              <w:jc w:val="center"/>
              <w:rPr>
                <w:rFonts w:ascii="Calibri" w:hAnsi="Calibri"/>
                <w:b/>
                <w:bCs/>
                <w:i/>
                <w:iCs/>
                <w:sz w:val="16"/>
                <w:szCs w:val="16"/>
              </w:rPr>
            </w:pPr>
            <w:r w:rsidRPr="00596C53">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11.4</w:t>
            </w:r>
          </w:p>
        </w:tc>
        <w:tc>
          <w:tcPr>
            <w:tcW w:w="2520" w:type="dxa"/>
            <w:tcBorders>
              <w:top w:val="nil"/>
              <w:left w:val="nil"/>
              <w:bottom w:val="single" w:sz="4"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33,581</w:t>
            </w:r>
          </w:p>
        </w:tc>
        <w:tc>
          <w:tcPr>
            <w:tcW w:w="2220" w:type="dxa"/>
            <w:tcBorders>
              <w:top w:val="nil"/>
              <w:left w:val="nil"/>
              <w:bottom w:val="single" w:sz="4"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10,518</w:t>
            </w:r>
          </w:p>
        </w:tc>
        <w:tc>
          <w:tcPr>
            <w:tcW w:w="2020" w:type="dxa"/>
            <w:tcBorders>
              <w:top w:val="nil"/>
              <w:left w:val="nil"/>
              <w:bottom w:val="single" w:sz="4" w:space="0" w:color="auto"/>
              <w:right w:val="single" w:sz="8"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14%</w:t>
            </w:r>
          </w:p>
        </w:tc>
      </w:tr>
      <w:tr w:rsidR="00596C53" w:rsidRPr="00596C53" w:rsidTr="00596C53">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596C53" w:rsidRPr="00596C53" w:rsidRDefault="00596C53" w:rsidP="00596C53">
            <w:pPr>
              <w:jc w:val="center"/>
              <w:rPr>
                <w:rFonts w:ascii="Calibri" w:hAnsi="Calibri"/>
                <w:b/>
                <w:bCs/>
                <w:i/>
                <w:iCs/>
                <w:sz w:val="16"/>
                <w:szCs w:val="16"/>
              </w:rPr>
            </w:pPr>
            <w:r w:rsidRPr="00596C53">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13.8</w:t>
            </w:r>
          </w:p>
        </w:tc>
        <w:tc>
          <w:tcPr>
            <w:tcW w:w="2520" w:type="dxa"/>
            <w:tcBorders>
              <w:top w:val="nil"/>
              <w:left w:val="nil"/>
              <w:bottom w:val="single" w:sz="8"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40,651</w:t>
            </w:r>
          </w:p>
        </w:tc>
        <w:tc>
          <w:tcPr>
            <w:tcW w:w="2220" w:type="dxa"/>
            <w:tcBorders>
              <w:top w:val="nil"/>
              <w:left w:val="nil"/>
              <w:bottom w:val="single" w:sz="8" w:space="0" w:color="auto"/>
              <w:right w:val="single" w:sz="4"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10,622</w:t>
            </w:r>
          </w:p>
        </w:tc>
        <w:tc>
          <w:tcPr>
            <w:tcW w:w="2020" w:type="dxa"/>
            <w:tcBorders>
              <w:top w:val="nil"/>
              <w:left w:val="nil"/>
              <w:bottom w:val="single" w:sz="8" w:space="0" w:color="auto"/>
              <w:right w:val="single" w:sz="8" w:space="0" w:color="auto"/>
            </w:tcBorders>
            <w:shd w:val="clear" w:color="auto" w:fill="auto"/>
            <w:vAlign w:val="center"/>
            <w:hideMark/>
          </w:tcPr>
          <w:p w:rsidR="00596C53" w:rsidRPr="00596C53" w:rsidRDefault="00596C53" w:rsidP="00596C53">
            <w:pPr>
              <w:jc w:val="center"/>
              <w:rPr>
                <w:rFonts w:ascii="Calibri" w:hAnsi="Calibri"/>
                <w:sz w:val="16"/>
                <w:szCs w:val="16"/>
              </w:rPr>
            </w:pPr>
            <w:r w:rsidRPr="00596C53">
              <w:rPr>
                <w:rFonts w:ascii="Calibri" w:hAnsi="Calibri"/>
                <w:sz w:val="16"/>
                <w:szCs w:val="16"/>
              </w:rPr>
              <w:t>14%</w:t>
            </w:r>
          </w:p>
        </w:tc>
      </w:tr>
    </w:tbl>
    <w:p w:rsidR="00287AF9" w:rsidRDefault="00287AF9" w:rsidP="00D440F0">
      <w:pPr>
        <w:jc w:val="center"/>
      </w:pPr>
    </w:p>
    <w:p w:rsidR="00E25E48" w:rsidRDefault="00E25E48"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A61A9F" w:rsidRPr="00A61A9F" w:rsidTr="00A61A9F">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A61A9F" w:rsidRPr="00A61A9F" w:rsidRDefault="00A61A9F" w:rsidP="00A61A9F">
            <w:pPr>
              <w:jc w:val="center"/>
              <w:rPr>
                <w:rFonts w:ascii="Calibri" w:hAnsi="Calibri"/>
                <w:b/>
                <w:bCs/>
                <w:sz w:val="18"/>
                <w:szCs w:val="18"/>
              </w:rPr>
            </w:pPr>
            <w:r w:rsidRPr="00A61A9F">
              <w:rPr>
                <w:rFonts w:ascii="Calibri" w:hAnsi="Calibri"/>
                <w:b/>
                <w:bCs/>
                <w:sz w:val="18"/>
                <w:szCs w:val="18"/>
              </w:rPr>
              <w:lastRenderedPageBreak/>
              <w:t>MP-Balaghat- Service Delivery - Apr'13 to Mar'14</w:t>
            </w:r>
          </w:p>
        </w:tc>
      </w:tr>
      <w:tr w:rsidR="00A61A9F" w:rsidRPr="00A61A9F" w:rsidTr="00A61A9F">
        <w:trPr>
          <w:trHeight w:val="960"/>
          <w:jc w:val="center"/>
        </w:trPr>
        <w:tc>
          <w:tcPr>
            <w:tcW w:w="1620" w:type="dxa"/>
            <w:tcBorders>
              <w:top w:val="nil"/>
              <w:left w:val="single" w:sz="8" w:space="0" w:color="auto"/>
              <w:bottom w:val="nil"/>
              <w:right w:val="nil"/>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Adolescent counselling services</w:t>
            </w:r>
          </w:p>
        </w:tc>
      </w:tr>
      <w:tr w:rsidR="00A61A9F" w:rsidRPr="00A61A9F" w:rsidTr="00A61A9F">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392,590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29,223</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3,214</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5,569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31,922</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219</w:t>
            </w:r>
          </w:p>
        </w:tc>
      </w:tr>
      <w:tr w:rsidR="00A61A9F" w:rsidRPr="00A61A9F" w:rsidTr="00A61A9F">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Adolescent counselling services as %ge of OPD</w:t>
            </w:r>
          </w:p>
        </w:tc>
      </w:tr>
      <w:tr w:rsidR="00A61A9F" w:rsidRPr="00A61A9F" w:rsidTr="00A61A9F">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226.6</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16.9</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185.5</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1.4%</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8.1%</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0.00%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0.1%</w:t>
            </w:r>
          </w:p>
        </w:tc>
      </w:tr>
    </w:tbl>
    <w:p w:rsidR="00596C53" w:rsidRDefault="00596C53" w:rsidP="00D440F0">
      <w:pPr>
        <w:jc w:val="center"/>
      </w:pPr>
    </w:p>
    <w:p w:rsidR="00A61A9F" w:rsidRDefault="00A61A9F" w:rsidP="00D440F0">
      <w:pPr>
        <w:jc w:val="center"/>
      </w:pPr>
    </w:p>
    <w:p w:rsidR="00A61A9F" w:rsidRDefault="00A61A9F" w:rsidP="00D440F0">
      <w:pPr>
        <w:jc w:val="center"/>
      </w:pPr>
    </w:p>
    <w:tbl>
      <w:tblPr>
        <w:tblW w:w="10640" w:type="dxa"/>
        <w:jc w:val="center"/>
        <w:tblInd w:w="93" w:type="dxa"/>
        <w:tblLook w:val="04A0"/>
      </w:tblPr>
      <w:tblGrid>
        <w:gridCol w:w="2580"/>
        <w:gridCol w:w="2200"/>
        <w:gridCol w:w="1560"/>
        <w:gridCol w:w="1560"/>
        <w:gridCol w:w="1360"/>
        <w:gridCol w:w="1380"/>
      </w:tblGrid>
      <w:tr w:rsidR="00A61A9F" w:rsidRPr="00A61A9F" w:rsidTr="00A61A9F">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A61A9F" w:rsidRPr="00A61A9F" w:rsidRDefault="00A61A9F" w:rsidP="00A61A9F">
            <w:pPr>
              <w:jc w:val="center"/>
              <w:rPr>
                <w:rFonts w:ascii="Calibri" w:hAnsi="Calibri"/>
                <w:b/>
                <w:bCs/>
                <w:sz w:val="18"/>
                <w:szCs w:val="18"/>
              </w:rPr>
            </w:pPr>
            <w:r w:rsidRPr="00A61A9F">
              <w:rPr>
                <w:rFonts w:ascii="Calibri" w:hAnsi="Calibri"/>
                <w:b/>
                <w:bCs/>
                <w:sz w:val="18"/>
                <w:szCs w:val="18"/>
              </w:rPr>
              <w:t>MP-Balaghat- Childhood Disease - Vaccine Preventable -Apr'13 to Mar'14</w:t>
            </w:r>
          </w:p>
        </w:tc>
      </w:tr>
      <w:tr w:rsidR="00A61A9F" w:rsidRPr="00A61A9F" w:rsidTr="00A61A9F">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Measles</w:t>
            </w:r>
          </w:p>
        </w:tc>
      </w:tr>
      <w:tr w:rsidR="00A61A9F" w:rsidRPr="00A61A9F" w:rsidTr="00A61A9F">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176</w:t>
            </w:r>
          </w:p>
        </w:tc>
      </w:tr>
      <w:tr w:rsidR="00A61A9F" w:rsidRPr="00A61A9F" w:rsidTr="00930C31">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MP-Balaghat-Childhood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A61A9F" w:rsidRPr="00A61A9F" w:rsidRDefault="00A61A9F" w:rsidP="00A61A9F">
            <w:pPr>
              <w:jc w:val="center"/>
              <w:rPr>
                <w:rFonts w:ascii="Calibri" w:hAnsi="Calibri"/>
                <w:sz w:val="16"/>
                <w:szCs w:val="16"/>
              </w:rPr>
            </w:pPr>
          </w:p>
        </w:tc>
      </w:tr>
      <w:tr w:rsidR="00A61A9F" w:rsidRPr="00A61A9F" w:rsidTr="00930C31">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A61A9F" w:rsidRPr="00A61A9F" w:rsidRDefault="00A61A9F" w:rsidP="00A61A9F">
            <w:pPr>
              <w:jc w:val="center"/>
              <w:rPr>
                <w:rFonts w:ascii="Calibri" w:hAnsi="Calibri"/>
                <w:sz w:val="16"/>
                <w:szCs w:val="16"/>
              </w:rPr>
            </w:pPr>
          </w:p>
        </w:tc>
      </w:tr>
      <w:tr w:rsidR="00A61A9F" w:rsidRPr="00A61A9F" w:rsidTr="00930C31">
        <w:trPr>
          <w:trHeight w:val="40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2,005</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737</w:t>
            </w:r>
          </w:p>
        </w:tc>
        <w:tc>
          <w:tcPr>
            <w:tcW w:w="1560" w:type="dxa"/>
            <w:tcBorders>
              <w:top w:val="nil"/>
              <w:left w:val="single" w:sz="8" w:space="0" w:color="auto"/>
              <w:bottom w:val="single" w:sz="8" w:space="0" w:color="auto"/>
              <w:right w:val="nil"/>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659</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A61A9F" w:rsidRPr="00A61A9F" w:rsidRDefault="00A61A9F" w:rsidP="00A61A9F">
            <w:pPr>
              <w:jc w:val="center"/>
              <w:rPr>
                <w:rFonts w:ascii="Calibri" w:hAnsi="Calibri"/>
                <w:sz w:val="16"/>
                <w:szCs w:val="16"/>
              </w:rPr>
            </w:pPr>
          </w:p>
        </w:tc>
      </w:tr>
    </w:tbl>
    <w:p w:rsidR="00A61A9F" w:rsidRDefault="00A61A9F" w:rsidP="00D440F0">
      <w:pPr>
        <w:jc w:val="center"/>
      </w:pPr>
    </w:p>
    <w:p w:rsidR="00A61A9F" w:rsidRDefault="00A61A9F" w:rsidP="00D440F0">
      <w:pPr>
        <w:jc w:val="center"/>
      </w:pPr>
    </w:p>
    <w:p w:rsidR="00A61A9F" w:rsidRDefault="00A61A9F"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A61A9F" w:rsidRPr="00A61A9F" w:rsidTr="00A61A9F">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A61A9F" w:rsidRPr="00A61A9F" w:rsidRDefault="00A61A9F" w:rsidP="00A61A9F">
            <w:pPr>
              <w:jc w:val="center"/>
              <w:rPr>
                <w:rFonts w:ascii="Calibri" w:hAnsi="Calibri"/>
                <w:b/>
                <w:bCs/>
                <w:sz w:val="18"/>
                <w:szCs w:val="18"/>
              </w:rPr>
            </w:pPr>
            <w:r w:rsidRPr="00A61A9F">
              <w:rPr>
                <w:rFonts w:ascii="Calibri" w:hAnsi="Calibri"/>
                <w:b/>
                <w:bCs/>
                <w:sz w:val="18"/>
                <w:szCs w:val="18"/>
              </w:rPr>
              <w:t>MP-Balaghat- Lab Services - Apr'13 to Mar'14</w:t>
            </w:r>
          </w:p>
        </w:tc>
      </w:tr>
      <w:tr w:rsidR="00A61A9F" w:rsidRPr="00A61A9F" w:rsidTr="00A61A9F">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Blood Smear Examined</w:t>
            </w:r>
          </w:p>
        </w:tc>
      </w:tr>
      <w:tr w:rsidR="00A61A9F" w:rsidRPr="00A61A9F" w:rsidTr="00A61A9F">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1,732,780</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32,754</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6,012</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239</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360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219,813</w:t>
            </w:r>
          </w:p>
        </w:tc>
      </w:tr>
      <w:tr w:rsidR="00A61A9F" w:rsidRPr="00A61A9F" w:rsidTr="00A61A9F">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A61A9F" w:rsidRPr="00A61A9F" w:rsidRDefault="00A61A9F" w:rsidP="00A61A9F">
            <w:pPr>
              <w:jc w:val="center"/>
              <w:rPr>
                <w:rFonts w:ascii="Calibri" w:hAnsi="Calibri"/>
                <w:b/>
                <w:bCs/>
                <w:sz w:val="16"/>
                <w:szCs w:val="16"/>
              </w:rPr>
            </w:pPr>
            <w:r w:rsidRPr="00A61A9F">
              <w:rPr>
                <w:rFonts w:ascii="Calibri" w:hAnsi="Calibri"/>
                <w:b/>
                <w:bCs/>
                <w:sz w:val="16"/>
                <w:szCs w:val="16"/>
              </w:rPr>
              <w:t>Blood Smear Examined as % of Population</w:t>
            </w:r>
          </w:p>
        </w:tc>
      </w:tr>
      <w:tr w:rsidR="00A61A9F" w:rsidRPr="00A61A9F" w:rsidTr="00A61A9F">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392,590</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8.3%</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7.7%</w:t>
            </w:r>
          </w:p>
        </w:tc>
        <w:tc>
          <w:tcPr>
            <w:tcW w:w="1540" w:type="dxa"/>
            <w:tcBorders>
              <w:top w:val="single" w:sz="8" w:space="0" w:color="auto"/>
              <w:left w:val="nil"/>
              <w:bottom w:val="single" w:sz="8" w:space="0" w:color="auto"/>
              <w:right w:val="nil"/>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1.5%</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2.2%</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0.09%</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A61A9F" w:rsidRPr="00A61A9F" w:rsidRDefault="00A61A9F" w:rsidP="00A61A9F">
            <w:pPr>
              <w:jc w:val="center"/>
              <w:rPr>
                <w:rFonts w:ascii="Calibri" w:hAnsi="Calibri"/>
                <w:sz w:val="16"/>
                <w:szCs w:val="16"/>
              </w:rPr>
            </w:pPr>
            <w:r w:rsidRPr="00A61A9F">
              <w:rPr>
                <w:rFonts w:ascii="Calibri" w:hAnsi="Calibri"/>
                <w:sz w:val="16"/>
                <w:szCs w:val="16"/>
              </w:rPr>
              <w:t>12.69%</w:t>
            </w:r>
          </w:p>
        </w:tc>
      </w:tr>
    </w:tbl>
    <w:p w:rsidR="00A61A9F" w:rsidRDefault="00A61A9F"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A61A9F" w:rsidRDefault="00A61A9F"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A61A9F" w:rsidRPr="00A61A9F" w:rsidTr="00A61A9F">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A61A9F" w:rsidRDefault="00A61A9F" w:rsidP="00A61A9F">
            <w:pPr>
              <w:jc w:val="center"/>
              <w:rPr>
                <w:rFonts w:ascii="Calibri" w:hAnsi="Calibri"/>
                <w:b/>
                <w:bCs/>
                <w:color w:val="FFFFFF"/>
                <w:sz w:val="72"/>
                <w:szCs w:val="72"/>
              </w:rPr>
            </w:pPr>
            <w:r w:rsidRPr="00A61A9F">
              <w:rPr>
                <w:rFonts w:ascii="Calibri" w:hAnsi="Calibri"/>
                <w:b/>
                <w:bCs/>
                <w:color w:val="FFFFFF"/>
                <w:sz w:val="72"/>
                <w:szCs w:val="72"/>
              </w:rPr>
              <w:t>MP</w:t>
            </w:r>
            <w:r>
              <w:rPr>
                <w:rFonts w:ascii="Calibri" w:hAnsi="Calibri"/>
                <w:b/>
                <w:bCs/>
                <w:color w:val="FFFFFF"/>
                <w:sz w:val="72"/>
                <w:szCs w:val="72"/>
              </w:rPr>
              <w:t xml:space="preserve"> </w:t>
            </w:r>
            <w:r w:rsidRPr="00A61A9F">
              <w:rPr>
                <w:rFonts w:ascii="Calibri" w:hAnsi="Calibri"/>
                <w:b/>
                <w:bCs/>
                <w:color w:val="FFFFFF"/>
                <w:sz w:val="72"/>
                <w:szCs w:val="72"/>
              </w:rPr>
              <w:t>-</w:t>
            </w:r>
            <w:r>
              <w:rPr>
                <w:rFonts w:ascii="Calibri" w:hAnsi="Calibri"/>
                <w:b/>
                <w:bCs/>
                <w:color w:val="FFFFFF"/>
                <w:sz w:val="72"/>
                <w:szCs w:val="72"/>
              </w:rPr>
              <w:t xml:space="preserve"> </w:t>
            </w:r>
            <w:r w:rsidRPr="00A61A9F">
              <w:rPr>
                <w:rFonts w:ascii="Calibri" w:hAnsi="Calibri"/>
                <w:b/>
                <w:bCs/>
                <w:color w:val="FFFFFF"/>
                <w:sz w:val="72"/>
                <w:szCs w:val="72"/>
              </w:rPr>
              <w:t xml:space="preserve">Balaghat </w:t>
            </w:r>
          </w:p>
          <w:p w:rsidR="00A61A9F" w:rsidRPr="00A61A9F" w:rsidRDefault="00A61A9F" w:rsidP="00A61A9F">
            <w:pPr>
              <w:jc w:val="center"/>
              <w:rPr>
                <w:rFonts w:ascii="Calibri" w:hAnsi="Calibri"/>
                <w:b/>
                <w:bCs/>
                <w:color w:val="FFFFFF"/>
                <w:sz w:val="72"/>
                <w:szCs w:val="72"/>
              </w:rPr>
            </w:pPr>
            <w:r w:rsidRPr="00A61A9F">
              <w:rPr>
                <w:rFonts w:ascii="Calibri" w:hAnsi="Calibri"/>
                <w:b/>
                <w:bCs/>
                <w:color w:val="FFFFFF"/>
                <w:sz w:val="72"/>
                <w:szCs w:val="72"/>
              </w:rPr>
              <w:t xml:space="preserve"> Mortality Data - Apr'13 to Mar'14</w:t>
            </w:r>
          </w:p>
        </w:tc>
      </w:tr>
      <w:tr w:rsidR="00A61A9F" w:rsidRPr="00A61A9F" w:rsidTr="00A61A9F">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61A9F" w:rsidRPr="00A61A9F" w:rsidRDefault="00A61A9F" w:rsidP="00A61A9F">
            <w:pPr>
              <w:rPr>
                <w:rFonts w:ascii="Calibri" w:hAnsi="Calibri"/>
                <w:b/>
                <w:bCs/>
                <w:color w:val="FFFFFF"/>
                <w:sz w:val="72"/>
                <w:szCs w:val="72"/>
              </w:rPr>
            </w:pPr>
          </w:p>
        </w:tc>
      </w:tr>
      <w:tr w:rsidR="00A61A9F" w:rsidRPr="00A61A9F" w:rsidTr="00A61A9F">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61A9F" w:rsidRPr="00A61A9F" w:rsidRDefault="00A61A9F" w:rsidP="00A61A9F">
            <w:pPr>
              <w:rPr>
                <w:rFonts w:ascii="Calibri" w:hAnsi="Calibri"/>
                <w:b/>
                <w:bCs/>
                <w:color w:val="FFFFFF"/>
                <w:sz w:val="72"/>
                <w:szCs w:val="72"/>
              </w:rPr>
            </w:pPr>
          </w:p>
        </w:tc>
      </w:tr>
      <w:tr w:rsidR="00A61A9F" w:rsidRPr="00A61A9F" w:rsidTr="00A61A9F">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61A9F" w:rsidRPr="00A61A9F" w:rsidRDefault="00A61A9F" w:rsidP="00A61A9F">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C9344D" w:rsidRPr="00C9344D" w:rsidTr="00C9344D">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C9344D" w:rsidRPr="00C9344D" w:rsidRDefault="00C9344D" w:rsidP="00C9344D">
            <w:pPr>
              <w:jc w:val="center"/>
              <w:rPr>
                <w:rFonts w:ascii="Calibri" w:hAnsi="Calibri"/>
                <w:b/>
                <w:bCs/>
                <w:sz w:val="18"/>
                <w:szCs w:val="18"/>
              </w:rPr>
            </w:pPr>
            <w:r w:rsidRPr="00C9344D">
              <w:rPr>
                <w:rFonts w:ascii="Calibri" w:hAnsi="Calibri"/>
                <w:b/>
                <w:bCs/>
                <w:sz w:val="18"/>
                <w:szCs w:val="18"/>
              </w:rPr>
              <w:lastRenderedPageBreak/>
              <w:t>MP-Balaghat - Mortality  - Major Causes Group - Apr'13 to Mar'14</w:t>
            </w:r>
          </w:p>
        </w:tc>
      </w:tr>
      <w:tr w:rsidR="00C9344D" w:rsidRPr="00C9344D" w:rsidTr="00C9344D">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9344D" w:rsidRPr="00C9344D" w:rsidRDefault="00C9344D" w:rsidP="00C9344D">
            <w:pPr>
              <w:jc w:val="center"/>
              <w:rPr>
                <w:rFonts w:ascii="Calibri" w:hAnsi="Calibri"/>
                <w:b/>
                <w:bCs/>
                <w:sz w:val="16"/>
                <w:szCs w:val="16"/>
              </w:rPr>
            </w:pPr>
            <w:r w:rsidRPr="00C9344D">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C9344D" w:rsidRPr="00C9344D" w:rsidRDefault="00C9344D" w:rsidP="00C9344D">
            <w:pPr>
              <w:jc w:val="center"/>
              <w:rPr>
                <w:rFonts w:ascii="Calibri" w:hAnsi="Calibri"/>
                <w:b/>
                <w:bCs/>
                <w:sz w:val="16"/>
                <w:szCs w:val="16"/>
              </w:rPr>
            </w:pPr>
            <w:r w:rsidRPr="00C9344D">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C9344D" w:rsidRPr="00C9344D" w:rsidRDefault="00C9344D" w:rsidP="00C9344D">
            <w:pPr>
              <w:jc w:val="center"/>
              <w:rPr>
                <w:rFonts w:ascii="Calibri" w:hAnsi="Calibri"/>
                <w:b/>
                <w:bCs/>
                <w:sz w:val="16"/>
                <w:szCs w:val="16"/>
              </w:rPr>
            </w:pPr>
            <w:r w:rsidRPr="00C9344D">
              <w:rPr>
                <w:rFonts w:ascii="Calibri" w:hAnsi="Calibri"/>
                <w:b/>
                <w:bCs/>
                <w:sz w:val="16"/>
                <w:szCs w:val="16"/>
              </w:rPr>
              <w:t xml:space="preserve">Reported deaths </w:t>
            </w:r>
          </w:p>
        </w:tc>
      </w:tr>
      <w:tr w:rsidR="00C9344D" w:rsidRPr="00C9344D" w:rsidTr="00C9344D">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9344D" w:rsidRPr="00C9344D" w:rsidRDefault="00C9344D" w:rsidP="00C9344D">
            <w:pPr>
              <w:rPr>
                <w:rFonts w:ascii="Calibri" w:hAnsi="Calibri"/>
                <w:b/>
                <w:bCs/>
                <w:sz w:val="16"/>
                <w:szCs w:val="16"/>
              </w:rPr>
            </w:pPr>
            <w:r w:rsidRPr="00C9344D">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C9344D" w:rsidRPr="00C9344D" w:rsidRDefault="00C9344D" w:rsidP="00C9344D">
            <w:pPr>
              <w:rPr>
                <w:rFonts w:ascii="Calibri" w:hAnsi="Calibri"/>
                <w:sz w:val="16"/>
                <w:szCs w:val="16"/>
              </w:rPr>
            </w:pPr>
            <w:r w:rsidRPr="00C9344D">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C9344D" w:rsidRPr="00C9344D" w:rsidRDefault="00C9344D" w:rsidP="00C9344D">
            <w:pPr>
              <w:jc w:val="center"/>
              <w:rPr>
                <w:rFonts w:ascii="Calibri" w:hAnsi="Calibri"/>
                <w:sz w:val="16"/>
                <w:szCs w:val="16"/>
              </w:rPr>
            </w:pPr>
            <w:r w:rsidRPr="00C9344D">
              <w:rPr>
                <w:rFonts w:ascii="Calibri" w:hAnsi="Calibri"/>
                <w:sz w:val="16"/>
                <w:szCs w:val="16"/>
              </w:rPr>
              <w:t>1,520</w:t>
            </w:r>
          </w:p>
        </w:tc>
      </w:tr>
      <w:tr w:rsidR="00C9344D" w:rsidRPr="00C9344D" w:rsidTr="00C9344D">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9344D" w:rsidRPr="00C9344D" w:rsidRDefault="00C9344D" w:rsidP="00C9344D">
            <w:pPr>
              <w:rPr>
                <w:rFonts w:ascii="Calibri" w:hAnsi="Calibri"/>
                <w:b/>
                <w:bCs/>
                <w:sz w:val="16"/>
                <w:szCs w:val="16"/>
              </w:rPr>
            </w:pPr>
            <w:r w:rsidRPr="00C9344D">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C9344D" w:rsidRPr="00C9344D" w:rsidRDefault="00C9344D" w:rsidP="00C9344D">
            <w:pPr>
              <w:rPr>
                <w:rFonts w:ascii="Calibri" w:hAnsi="Calibri"/>
                <w:sz w:val="16"/>
                <w:szCs w:val="16"/>
              </w:rPr>
            </w:pPr>
            <w:r w:rsidRPr="00C9344D">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C9344D" w:rsidRPr="00C9344D" w:rsidRDefault="00C9344D" w:rsidP="00C9344D">
            <w:pPr>
              <w:jc w:val="center"/>
              <w:rPr>
                <w:rFonts w:ascii="Calibri" w:hAnsi="Calibri"/>
                <w:sz w:val="16"/>
                <w:szCs w:val="16"/>
              </w:rPr>
            </w:pPr>
            <w:r w:rsidRPr="00C9344D">
              <w:rPr>
                <w:rFonts w:ascii="Calibri" w:hAnsi="Calibri"/>
                <w:sz w:val="16"/>
                <w:szCs w:val="16"/>
              </w:rPr>
              <w:t>750</w:t>
            </w:r>
          </w:p>
        </w:tc>
      </w:tr>
      <w:tr w:rsidR="00C9344D" w:rsidRPr="00C9344D" w:rsidTr="00C9344D">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9344D" w:rsidRPr="00C9344D" w:rsidRDefault="00C9344D" w:rsidP="00C9344D">
            <w:pPr>
              <w:rPr>
                <w:rFonts w:ascii="Calibri" w:hAnsi="Calibri"/>
                <w:b/>
                <w:bCs/>
                <w:sz w:val="16"/>
                <w:szCs w:val="16"/>
              </w:rPr>
            </w:pPr>
            <w:r w:rsidRPr="00C9344D">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C9344D" w:rsidRPr="00C9344D" w:rsidRDefault="00C9344D" w:rsidP="00C9344D">
            <w:pPr>
              <w:rPr>
                <w:rFonts w:ascii="Calibri" w:hAnsi="Calibri"/>
                <w:sz w:val="16"/>
                <w:szCs w:val="16"/>
              </w:rPr>
            </w:pPr>
            <w:r w:rsidRPr="00C9344D">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C9344D" w:rsidRPr="00C9344D" w:rsidRDefault="00C9344D" w:rsidP="00C9344D">
            <w:pPr>
              <w:jc w:val="center"/>
              <w:rPr>
                <w:rFonts w:ascii="Calibri" w:hAnsi="Calibri"/>
                <w:sz w:val="16"/>
                <w:szCs w:val="16"/>
              </w:rPr>
            </w:pPr>
            <w:r w:rsidRPr="00C9344D">
              <w:rPr>
                <w:rFonts w:ascii="Calibri" w:hAnsi="Calibri"/>
                <w:sz w:val="16"/>
                <w:szCs w:val="16"/>
              </w:rPr>
              <w:t>75</w:t>
            </w:r>
          </w:p>
        </w:tc>
      </w:tr>
      <w:tr w:rsidR="00C9344D" w:rsidRPr="00C9344D" w:rsidTr="00C9344D">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C9344D" w:rsidRPr="00C9344D" w:rsidRDefault="00C9344D" w:rsidP="00C9344D">
            <w:pPr>
              <w:rPr>
                <w:rFonts w:ascii="Calibri" w:hAnsi="Calibri"/>
                <w:b/>
                <w:bCs/>
                <w:sz w:val="16"/>
                <w:szCs w:val="16"/>
              </w:rPr>
            </w:pPr>
            <w:r w:rsidRPr="00C9344D">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C9344D" w:rsidRPr="00C9344D" w:rsidRDefault="00C9344D" w:rsidP="00C9344D">
            <w:pPr>
              <w:rPr>
                <w:rFonts w:ascii="Calibri" w:hAnsi="Calibri"/>
                <w:sz w:val="16"/>
                <w:szCs w:val="16"/>
              </w:rPr>
            </w:pPr>
            <w:r w:rsidRPr="00C9344D">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C9344D" w:rsidRPr="00C9344D" w:rsidRDefault="00C9344D" w:rsidP="00C9344D">
            <w:pPr>
              <w:jc w:val="center"/>
              <w:rPr>
                <w:rFonts w:ascii="Calibri" w:hAnsi="Calibri"/>
                <w:sz w:val="16"/>
                <w:szCs w:val="16"/>
              </w:rPr>
            </w:pPr>
            <w:r w:rsidRPr="00C9344D">
              <w:rPr>
                <w:rFonts w:ascii="Calibri" w:hAnsi="Calibri"/>
                <w:sz w:val="16"/>
                <w:szCs w:val="16"/>
              </w:rPr>
              <w:t>2,037</w:t>
            </w:r>
          </w:p>
        </w:tc>
      </w:tr>
    </w:tbl>
    <w:p w:rsidR="00A61A9F" w:rsidRDefault="00A61A9F" w:rsidP="00D440F0">
      <w:pPr>
        <w:jc w:val="center"/>
      </w:pPr>
    </w:p>
    <w:p w:rsidR="004D687A" w:rsidRDefault="004D687A" w:rsidP="00D440F0">
      <w:pPr>
        <w:jc w:val="center"/>
      </w:pPr>
    </w:p>
    <w:p w:rsidR="00C9344D" w:rsidRDefault="00C9344D" w:rsidP="00D440F0">
      <w:pPr>
        <w:jc w:val="center"/>
      </w:pPr>
    </w:p>
    <w:p w:rsidR="00C9344D" w:rsidRDefault="001A7CFB" w:rsidP="00D440F0">
      <w:pPr>
        <w:jc w:val="center"/>
      </w:pPr>
      <w:r w:rsidRPr="001A7CFB">
        <w:drawing>
          <wp:inline distT="0" distB="0" distL="0" distR="0">
            <wp:extent cx="6448425" cy="3990975"/>
            <wp:effectExtent l="57150" t="0" r="47625" b="666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1A7CFB" w:rsidRPr="001A7CFB" w:rsidTr="001A7CFB">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1A7CFB" w:rsidRPr="001A7CFB" w:rsidRDefault="001A7CFB" w:rsidP="001A7CFB">
            <w:pPr>
              <w:jc w:val="center"/>
              <w:rPr>
                <w:rFonts w:ascii="Calibri" w:hAnsi="Calibri"/>
                <w:b/>
                <w:bCs/>
                <w:sz w:val="18"/>
                <w:szCs w:val="18"/>
              </w:rPr>
            </w:pPr>
            <w:r w:rsidRPr="001A7CFB">
              <w:rPr>
                <w:rFonts w:ascii="Calibri" w:hAnsi="Calibri"/>
                <w:b/>
                <w:bCs/>
                <w:sz w:val="18"/>
                <w:szCs w:val="18"/>
              </w:rPr>
              <w:lastRenderedPageBreak/>
              <w:t>MP-Balaghat-  Still Births, Neonatal , Infant ,Under 5  and Maternal Deaths - Apr'13 to Mar'14</w:t>
            </w:r>
          </w:p>
        </w:tc>
      </w:tr>
      <w:tr w:rsidR="001A7CFB" w:rsidRPr="001A7CFB" w:rsidTr="001A7CFB">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Early Neonatal deaths</w:t>
            </w:r>
          </w:p>
        </w:tc>
      </w:tr>
      <w:tr w:rsidR="001A7CFB" w:rsidRPr="001A7CFB" w:rsidTr="001A7CFB">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30,001</w:t>
            </w:r>
          </w:p>
        </w:tc>
        <w:tc>
          <w:tcPr>
            <w:tcW w:w="2160" w:type="dxa"/>
            <w:tcBorders>
              <w:top w:val="nil"/>
              <w:left w:val="nil"/>
              <w:bottom w:val="nil"/>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39,334</w:t>
            </w:r>
          </w:p>
        </w:tc>
        <w:tc>
          <w:tcPr>
            <w:tcW w:w="2200" w:type="dxa"/>
            <w:tcBorders>
              <w:top w:val="nil"/>
              <w:left w:val="nil"/>
              <w:bottom w:val="nil"/>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681</w:t>
            </w:r>
          </w:p>
        </w:tc>
        <w:tc>
          <w:tcPr>
            <w:tcW w:w="2360" w:type="dxa"/>
            <w:tcBorders>
              <w:top w:val="nil"/>
              <w:left w:val="nil"/>
              <w:bottom w:val="nil"/>
              <w:right w:val="single" w:sz="8"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218</w:t>
            </w:r>
          </w:p>
        </w:tc>
      </w:tr>
      <w:tr w:rsidR="001A7CFB" w:rsidRPr="001A7CFB" w:rsidTr="001A7CFB">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sz w:val="18"/>
                <w:szCs w:val="18"/>
              </w:rPr>
            </w:pPr>
            <w:r w:rsidRPr="001A7CFB">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sz w:val="18"/>
                <w:szCs w:val="18"/>
              </w:rPr>
            </w:pPr>
            <w:r w:rsidRPr="001A7CFB">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sz w:val="18"/>
                <w:szCs w:val="18"/>
              </w:rPr>
            </w:pPr>
            <w:r w:rsidRPr="001A7CFB">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8"/>
                <w:szCs w:val="18"/>
              </w:rPr>
            </w:pPr>
            <w:r w:rsidRPr="001A7CFB">
              <w:rPr>
                <w:rFonts w:ascii="Calibri" w:hAnsi="Calibri"/>
                <w:sz w:val="18"/>
                <w:szCs w:val="18"/>
              </w:rPr>
              <w:t>Maternal Deaths</w:t>
            </w:r>
          </w:p>
        </w:tc>
      </w:tr>
      <w:tr w:rsidR="001A7CFB" w:rsidRPr="001A7CFB" w:rsidTr="001A7CFB">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86</w:t>
            </w:r>
          </w:p>
        </w:tc>
        <w:tc>
          <w:tcPr>
            <w:tcW w:w="2160" w:type="dxa"/>
            <w:tcBorders>
              <w:top w:val="nil"/>
              <w:left w:val="nil"/>
              <w:bottom w:val="nil"/>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375</w:t>
            </w:r>
          </w:p>
        </w:tc>
        <w:tc>
          <w:tcPr>
            <w:tcW w:w="2200" w:type="dxa"/>
            <w:tcBorders>
              <w:top w:val="nil"/>
              <w:left w:val="nil"/>
              <w:bottom w:val="nil"/>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459</w:t>
            </w:r>
          </w:p>
        </w:tc>
        <w:tc>
          <w:tcPr>
            <w:tcW w:w="2360" w:type="dxa"/>
            <w:tcBorders>
              <w:top w:val="nil"/>
              <w:left w:val="nil"/>
              <w:bottom w:val="nil"/>
              <w:right w:val="single" w:sz="8"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22</w:t>
            </w:r>
          </w:p>
        </w:tc>
      </w:tr>
      <w:tr w:rsidR="001A7CFB" w:rsidRPr="001A7CFB" w:rsidTr="00D03B60">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1A7CFB" w:rsidRPr="001A7CFB" w:rsidRDefault="001A7CFB" w:rsidP="001A7CFB">
            <w:pPr>
              <w:jc w:val="center"/>
              <w:rPr>
                <w:rFonts w:ascii="Calibri" w:hAnsi="Calibri"/>
                <w:b/>
                <w:bCs/>
                <w:sz w:val="18"/>
                <w:szCs w:val="18"/>
              </w:rPr>
            </w:pPr>
            <w:r w:rsidRPr="001A7CFB">
              <w:rPr>
                <w:rFonts w:ascii="Calibri" w:hAnsi="Calibri"/>
                <w:b/>
                <w:bCs/>
                <w:sz w:val="18"/>
                <w:szCs w:val="18"/>
              </w:rPr>
              <w:t>MP-Balaghat-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p>
        </w:tc>
      </w:tr>
      <w:tr w:rsidR="001A7CFB" w:rsidRPr="001A7CFB" w:rsidTr="00D03B60">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 xml:space="preserve">Against Reported Live Births </w:t>
            </w:r>
            <w:r>
              <w:rPr>
                <w:rFonts w:ascii="Calibri" w:hAnsi="Calibri"/>
                <w:sz w:val="16"/>
                <w:szCs w:val="16"/>
              </w:rPr>
              <w:t xml:space="preserve">                                               </w:t>
            </w:r>
            <w:r w:rsidRPr="001A7CFB">
              <w:rPr>
                <w:rFonts w:ascii="Calibri" w:hAnsi="Calibri"/>
                <w:sz w:val="16"/>
                <w:szCs w:val="16"/>
              </w:rPr>
              <w:t>( 1000)</w:t>
            </w:r>
          </w:p>
        </w:tc>
        <w:tc>
          <w:tcPr>
            <w:tcW w:w="2200" w:type="dxa"/>
            <w:tcBorders>
              <w:top w:val="nil"/>
              <w:left w:val="nil"/>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p>
        </w:tc>
      </w:tr>
      <w:tr w:rsidR="001A7CFB" w:rsidRPr="001A7CFB" w:rsidTr="00D03B6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22.70</w:t>
            </w:r>
          </w:p>
        </w:tc>
        <w:tc>
          <w:tcPr>
            <w:tcW w:w="2200" w:type="dxa"/>
            <w:tcBorders>
              <w:top w:val="nil"/>
              <w:left w:val="nil"/>
              <w:bottom w:val="single" w:sz="4" w:space="0" w:color="auto"/>
              <w:right w:val="nil"/>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17.31</w:t>
            </w:r>
          </w:p>
        </w:tc>
        <w:tc>
          <w:tcPr>
            <w:tcW w:w="2360" w:type="dxa"/>
            <w:vMerge/>
            <w:tcBorders>
              <w:left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p>
        </w:tc>
      </w:tr>
      <w:tr w:rsidR="001A7CFB" w:rsidRPr="001A7CFB" w:rsidTr="00D03B6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29.97</w:t>
            </w:r>
          </w:p>
        </w:tc>
        <w:tc>
          <w:tcPr>
            <w:tcW w:w="2200" w:type="dxa"/>
            <w:tcBorders>
              <w:top w:val="nil"/>
              <w:left w:val="nil"/>
              <w:bottom w:val="single" w:sz="4" w:space="0" w:color="auto"/>
              <w:right w:val="nil"/>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23</w:t>
            </w:r>
          </w:p>
        </w:tc>
        <w:tc>
          <w:tcPr>
            <w:tcW w:w="2360" w:type="dxa"/>
            <w:vMerge/>
            <w:tcBorders>
              <w:left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p>
        </w:tc>
      </w:tr>
      <w:tr w:rsidR="001A7CFB" w:rsidRPr="001A7CFB" w:rsidTr="00D03B6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10.13</w:t>
            </w:r>
          </w:p>
        </w:tc>
        <w:tc>
          <w:tcPr>
            <w:tcW w:w="2200" w:type="dxa"/>
            <w:tcBorders>
              <w:top w:val="nil"/>
              <w:left w:val="nil"/>
              <w:bottom w:val="single" w:sz="4" w:space="0" w:color="auto"/>
              <w:right w:val="nil"/>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7.73</w:t>
            </w:r>
          </w:p>
        </w:tc>
        <w:tc>
          <w:tcPr>
            <w:tcW w:w="2360" w:type="dxa"/>
            <w:vMerge/>
            <w:tcBorders>
              <w:left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p>
        </w:tc>
      </w:tr>
      <w:tr w:rsidR="001A7CFB" w:rsidRPr="001A7CFB" w:rsidTr="00D03B60">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12.50</w:t>
            </w:r>
          </w:p>
        </w:tc>
        <w:tc>
          <w:tcPr>
            <w:tcW w:w="2200" w:type="dxa"/>
            <w:tcBorders>
              <w:top w:val="nil"/>
              <w:left w:val="nil"/>
              <w:bottom w:val="nil"/>
              <w:right w:val="nil"/>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9.53</w:t>
            </w:r>
          </w:p>
        </w:tc>
        <w:tc>
          <w:tcPr>
            <w:tcW w:w="2360" w:type="dxa"/>
            <w:vMerge/>
            <w:tcBorders>
              <w:left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p>
        </w:tc>
      </w:tr>
      <w:tr w:rsidR="001A7CFB" w:rsidRPr="001A7CFB" w:rsidTr="00D03B60">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15.3</w:t>
            </w:r>
          </w:p>
        </w:tc>
        <w:tc>
          <w:tcPr>
            <w:tcW w:w="2200" w:type="dxa"/>
            <w:tcBorders>
              <w:top w:val="single" w:sz="4" w:space="0" w:color="auto"/>
              <w:left w:val="nil"/>
              <w:bottom w:val="single" w:sz="4" w:space="0" w:color="auto"/>
              <w:right w:val="nil"/>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11.67</w:t>
            </w:r>
          </w:p>
        </w:tc>
        <w:tc>
          <w:tcPr>
            <w:tcW w:w="2360" w:type="dxa"/>
            <w:vMerge/>
            <w:tcBorders>
              <w:left w:val="single" w:sz="8" w:space="0" w:color="auto"/>
              <w:bottom w:val="nil"/>
              <w:right w:val="single" w:sz="8" w:space="0" w:color="auto"/>
            </w:tcBorders>
            <w:shd w:val="clear" w:color="000000" w:fill="F2DDDC"/>
            <w:vAlign w:val="center"/>
            <w:hideMark/>
          </w:tcPr>
          <w:p w:rsidR="001A7CFB" w:rsidRPr="001A7CFB" w:rsidRDefault="001A7CFB" w:rsidP="001A7CFB">
            <w:pPr>
              <w:jc w:val="center"/>
              <w:rPr>
                <w:rFonts w:ascii="Calibri" w:hAnsi="Calibri"/>
                <w:sz w:val="20"/>
                <w:szCs w:val="20"/>
              </w:rPr>
            </w:pPr>
          </w:p>
        </w:tc>
      </w:tr>
      <w:tr w:rsidR="001A7CFB" w:rsidRPr="001A7CFB" w:rsidTr="001A7CFB">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73.33</w:t>
            </w:r>
          </w:p>
        </w:tc>
        <w:tc>
          <w:tcPr>
            <w:tcW w:w="2200" w:type="dxa"/>
            <w:tcBorders>
              <w:top w:val="nil"/>
              <w:left w:val="nil"/>
              <w:bottom w:val="single" w:sz="8" w:space="0" w:color="auto"/>
              <w:right w:val="nil"/>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55.93</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i/>
                <w:iCs/>
                <w:sz w:val="16"/>
                <w:szCs w:val="16"/>
              </w:rPr>
            </w:pPr>
            <w:r w:rsidRPr="001A7CFB">
              <w:rPr>
                <w:rFonts w:ascii="Calibri" w:hAnsi="Calibri"/>
                <w:b/>
                <w:bCs/>
                <w:i/>
                <w:iCs/>
                <w:sz w:val="16"/>
                <w:szCs w:val="16"/>
              </w:rPr>
              <w:t>Maternal deaths is against 100000 live births</w:t>
            </w:r>
          </w:p>
        </w:tc>
      </w:tr>
    </w:tbl>
    <w:p w:rsidR="001A7CFB" w:rsidRDefault="001A7CFB" w:rsidP="00D440F0">
      <w:pPr>
        <w:jc w:val="center"/>
      </w:pPr>
    </w:p>
    <w:p w:rsidR="004D687A" w:rsidRDefault="004D687A" w:rsidP="00D440F0">
      <w:pPr>
        <w:jc w:val="center"/>
      </w:pPr>
    </w:p>
    <w:p w:rsidR="001A7CFB" w:rsidRDefault="001A7CFB" w:rsidP="00D440F0">
      <w:pPr>
        <w:jc w:val="center"/>
      </w:pPr>
    </w:p>
    <w:p w:rsidR="001A7CFB" w:rsidRDefault="001A7CFB" w:rsidP="00D440F0">
      <w:pPr>
        <w:jc w:val="center"/>
      </w:pPr>
    </w:p>
    <w:tbl>
      <w:tblPr>
        <w:tblW w:w="10240" w:type="dxa"/>
        <w:jc w:val="center"/>
        <w:tblInd w:w="93" w:type="dxa"/>
        <w:tblLook w:val="04A0"/>
      </w:tblPr>
      <w:tblGrid>
        <w:gridCol w:w="1500"/>
        <w:gridCol w:w="2200"/>
        <w:gridCol w:w="1240"/>
        <w:gridCol w:w="1160"/>
        <w:gridCol w:w="1360"/>
        <w:gridCol w:w="1020"/>
        <w:gridCol w:w="860"/>
        <w:gridCol w:w="900"/>
      </w:tblGrid>
      <w:tr w:rsidR="001A7CFB" w:rsidRPr="001A7CFB" w:rsidTr="001A7CFB">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1A7CFB" w:rsidRPr="001A7CFB" w:rsidRDefault="001A7CFB" w:rsidP="001A7CFB">
            <w:pPr>
              <w:jc w:val="center"/>
              <w:rPr>
                <w:rFonts w:ascii="Calibri" w:hAnsi="Calibri"/>
                <w:b/>
                <w:bCs/>
                <w:sz w:val="18"/>
                <w:szCs w:val="18"/>
              </w:rPr>
            </w:pPr>
            <w:r w:rsidRPr="001A7CFB">
              <w:rPr>
                <w:rFonts w:ascii="Calibri" w:hAnsi="Calibri"/>
                <w:b/>
                <w:bCs/>
                <w:sz w:val="18"/>
                <w:szCs w:val="18"/>
              </w:rPr>
              <w:t>MP-Balaghat - Infant &amp; Child Deaths - Apr'13 to Mar'14</w:t>
            </w:r>
          </w:p>
        </w:tc>
      </w:tr>
      <w:tr w:rsidR="001A7CFB" w:rsidRPr="001A7CFB" w:rsidTr="001A7CFB">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sz w:val="16"/>
                <w:szCs w:val="16"/>
              </w:rPr>
            </w:pPr>
          </w:p>
        </w:tc>
        <w:tc>
          <w:tcPr>
            <w:tcW w:w="220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Total Deaths</w:t>
            </w:r>
          </w:p>
        </w:tc>
      </w:tr>
      <w:tr w:rsidR="001A7CFB" w:rsidRPr="001A7CFB" w:rsidTr="001A7CFB">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91</w:t>
            </w:r>
          </w:p>
        </w:tc>
        <w:tc>
          <w:tcPr>
            <w:tcW w:w="124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127</w:t>
            </w:r>
          </w:p>
        </w:tc>
        <w:tc>
          <w:tcPr>
            <w:tcW w:w="116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86</w:t>
            </w:r>
          </w:p>
        </w:tc>
        <w:tc>
          <w:tcPr>
            <w:tcW w:w="136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71</w:t>
            </w:r>
          </w:p>
        </w:tc>
        <w:tc>
          <w:tcPr>
            <w:tcW w:w="102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375</w:t>
            </w:r>
          </w:p>
        </w:tc>
        <w:tc>
          <w:tcPr>
            <w:tcW w:w="860" w:type="dxa"/>
            <w:tcBorders>
              <w:top w:val="nil"/>
              <w:left w:val="nil"/>
              <w:bottom w:val="single" w:sz="4" w:space="0" w:color="auto"/>
              <w:right w:val="single" w:sz="4" w:space="0" w:color="auto"/>
            </w:tcBorders>
            <w:shd w:val="clear" w:color="auto" w:fill="auto"/>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84</w:t>
            </w:r>
          </w:p>
        </w:tc>
        <w:tc>
          <w:tcPr>
            <w:tcW w:w="900" w:type="dxa"/>
            <w:tcBorders>
              <w:top w:val="nil"/>
              <w:left w:val="nil"/>
              <w:bottom w:val="single" w:sz="4" w:space="0" w:color="auto"/>
              <w:right w:val="single" w:sz="8"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459</w:t>
            </w:r>
          </w:p>
        </w:tc>
      </w:tr>
      <w:tr w:rsidR="001A7CFB" w:rsidRPr="001A7CFB" w:rsidTr="001A7CFB">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1A7CFB" w:rsidRPr="001A7CFB" w:rsidRDefault="001A7CFB" w:rsidP="001A7CFB">
            <w:pPr>
              <w:jc w:val="center"/>
              <w:rPr>
                <w:rFonts w:ascii="Calibri" w:hAnsi="Calibri"/>
                <w:b/>
                <w:bCs/>
                <w:sz w:val="16"/>
                <w:szCs w:val="16"/>
              </w:rPr>
            </w:pPr>
            <w:r w:rsidRPr="001A7CFB">
              <w:rPr>
                <w:rFonts w:ascii="Calibri" w:hAnsi="Calibri"/>
                <w:b/>
                <w:bCs/>
                <w:sz w:val="16"/>
                <w:szCs w:val="16"/>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19.8%</w:t>
            </w:r>
          </w:p>
        </w:tc>
        <w:tc>
          <w:tcPr>
            <w:tcW w:w="1240" w:type="dxa"/>
            <w:tcBorders>
              <w:top w:val="nil"/>
              <w:left w:val="nil"/>
              <w:bottom w:val="single" w:sz="8"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27.7%</w:t>
            </w:r>
          </w:p>
        </w:tc>
        <w:tc>
          <w:tcPr>
            <w:tcW w:w="1160" w:type="dxa"/>
            <w:tcBorders>
              <w:top w:val="nil"/>
              <w:left w:val="nil"/>
              <w:bottom w:val="single" w:sz="8"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18.7%</w:t>
            </w:r>
          </w:p>
        </w:tc>
        <w:tc>
          <w:tcPr>
            <w:tcW w:w="1360" w:type="dxa"/>
            <w:tcBorders>
              <w:top w:val="nil"/>
              <w:left w:val="nil"/>
              <w:bottom w:val="single" w:sz="8"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15.5%</w:t>
            </w:r>
          </w:p>
        </w:tc>
        <w:tc>
          <w:tcPr>
            <w:tcW w:w="1020" w:type="dxa"/>
            <w:tcBorders>
              <w:top w:val="nil"/>
              <w:left w:val="nil"/>
              <w:bottom w:val="single" w:sz="8"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81.7%</w:t>
            </w:r>
          </w:p>
        </w:tc>
        <w:tc>
          <w:tcPr>
            <w:tcW w:w="860" w:type="dxa"/>
            <w:tcBorders>
              <w:top w:val="nil"/>
              <w:left w:val="nil"/>
              <w:bottom w:val="single" w:sz="8" w:space="0" w:color="auto"/>
              <w:right w:val="single" w:sz="4" w:space="0" w:color="auto"/>
            </w:tcBorders>
            <w:shd w:val="clear" w:color="auto" w:fill="auto"/>
            <w:vAlign w:val="center"/>
            <w:hideMark/>
          </w:tcPr>
          <w:p w:rsidR="001A7CFB" w:rsidRPr="001A7CFB" w:rsidRDefault="001A7CFB" w:rsidP="001A7CFB">
            <w:pPr>
              <w:jc w:val="center"/>
              <w:rPr>
                <w:rFonts w:ascii="Calibri" w:hAnsi="Calibri"/>
                <w:sz w:val="16"/>
                <w:szCs w:val="16"/>
              </w:rPr>
            </w:pPr>
            <w:r w:rsidRPr="001A7CFB">
              <w:rPr>
                <w:rFonts w:ascii="Calibri" w:hAnsi="Calibri"/>
                <w:sz w:val="16"/>
                <w:szCs w:val="16"/>
              </w:rPr>
              <w:t>18.3%</w:t>
            </w:r>
          </w:p>
        </w:tc>
        <w:tc>
          <w:tcPr>
            <w:tcW w:w="900" w:type="dxa"/>
            <w:tcBorders>
              <w:top w:val="nil"/>
              <w:left w:val="nil"/>
              <w:bottom w:val="single" w:sz="8" w:space="0" w:color="auto"/>
              <w:right w:val="single" w:sz="8" w:space="0" w:color="auto"/>
            </w:tcBorders>
            <w:shd w:val="clear" w:color="auto" w:fill="auto"/>
            <w:vAlign w:val="center"/>
            <w:hideMark/>
          </w:tcPr>
          <w:p w:rsidR="001A7CFB" w:rsidRPr="001A7CFB" w:rsidRDefault="001A7CFB" w:rsidP="001A7CFB">
            <w:pPr>
              <w:jc w:val="center"/>
              <w:rPr>
                <w:rFonts w:ascii="Calibri" w:hAnsi="Calibri"/>
                <w:sz w:val="16"/>
                <w:szCs w:val="16"/>
              </w:rPr>
            </w:pPr>
          </w:p>
        </w:tc>
      </w:tr>
    </w:tbl>
    <w:p w:rsidR="001A7CFB" w:rsidRDefault="001A7CFB"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1A7CFB" w:rsidRDefault="00BE1BC7" w:rsidP="00D440F0">
      <w:pPr>
        <w:jc w:val="center"/>
      </w:pPr>
      <w:r w:rsidRPr="00BE1BC7">
        <w:lastRenderedPageBreak/>
        <w:drawing>
          <wp:inline distT="0" distB="0" distL="0" distR="0">
            <wp:extent cx="6562725" cy="4305300"/>
            <wp:effectExtent l="57150" t="0" r="47625" b="762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1BC7" w:rsidRDefault="00BE1BC7" w:rsidP="00D440F0">
      <w:pPr>
        <w:jc w:val="center"/>
      </w:pPr>
    </w:p>
    <w:p w:rsidR="00212EA5" w:rsidRDefault="00212EA5"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212EA5" w:rsidRPr="00212EA5" w:rsidTr="00212EA5">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MP-Balaghat- Causes of Infant &amp; Child Deaths - Apr'13 to Mar'14 -  Total Deaths - 368</w:t>
            </w:r>
          </w:p>
        </w:tc>
      </w:tr>
      <w:tr w:rsidR="00212EA5" w:rsidRPr="00212EA5" w:rsidTr="00212EA5">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LBW</w:t>
            </w:r>
          </w:p>
        </w:tc>
      </w:tr>
      <w:tr w:rsidR="00212EA5" w:rsidRPr="00212EA5" w:rsidTr="00212EA5">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r>
      <w:tr w:rsidR="00212EA5" w:rsidRPr="00212EA5" w:rsidTr="00212EA5">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9</w:t>
            </w:r>
          </w:p>
        </w:tc>
        <w:tc>
          <w:tcPr>
            <w:tcW w:w="1400" w:type="dxa"/>
            <w:tcBorders>
              <w:top w:val="nil"/>
              <w:left w:val="single" w:sz="8" w:space="0" w:color="auto"/>
              <w:bottom w:val="nil"/>
              <w:right w:val="nil"/>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6</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15</w:t>
            </w:r>
          </w:p>
        </w:tc>
        <w:tc>
          <w:tcPr>
            <w:tcW w:w="1040" w:type="dxa"/>
            <w:tcBorders>
              <w:top w:val="nil"/>
              <w:left w:val="nil"/>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13</w:t>
            </w:r>
          </w:p>
        </w:tc>
        <w:tc>
          <w:tcPr>
            <w:tcW w:w="130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11</w:t>
            </w:r>
          </w:p>
        </w:tc>
        <w:tc>
          <w:tcPr>
            <w:tcW w:w="116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24</w:t>
            </w:r>
          </w:p>
        </w:tc>
        <w:tc>
          <w:tcPr>
            <w:tcW w:w="104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18</w:t>
            </w:r>
          </w:p>
        </w:tc>
        <w:tc>
          <w:tcPr>
            <w:tcW w:w="106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23</w:t>
            </w:r>
          </w:p>
        </w:tc>
        <w:tc>
          <w:tcPr>
            <w:tcW w:w="1160" w:type="dxa"/>
            <w:tcBorders>
              <w:top w:val="nil"/>
              <w:left w:val="single" w:sz="8" w:space="0" w:color="auto"/>
              <w:bottom w:val="nil"/>
              <w:right w:val="single" w:sz="8" w:space="0" w:color="auto"/>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41</w:t>
            </w:r>
          </w:p>
        </w:tc>
      </w:tr>
      <w:tr w:rsidR="00212EA5" w:rsidRPr="00212EA5" w:rsidTr="00212EA5">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Fever related</w:t>
            </w:r>
          </w:p>
        </w:tc>
      </w:tr>
      <w:tr w:rsidR="00212EA5" w:rsidRPr="00212EA5" w:rsidTr="00212EA5">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r>
      <w:tr w:rsidR="00212EA5" w:rsidRPr="00212EA5" w:rsidTr="00212EA5">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7</w:t>
            </w:r>
          </w:p>
        </w:tc>
        <w:tc>
          <w:tcPr>
            <w:tcW w:w="140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3</w:t>
            </w:r>
          </w:p>
        </w:tc>
        <w:tc>
          <w:tcPr>
            <w:tcW w:w="112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10</w:t>
            </w:r>
          </w:p>
        </w:tc>
        <w:tc>
          <w:tcPr>
            <w:tcW w:w="104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3</w:t>
            </w:r>
          </w:p>
        </w:tc>
        <w:tc>
          <w:tcPr>
            <w:tcW w:w="130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3</w:t>
            </w:r>
          </w:p>
        </w:tc>
        <w:tc>
          <w:tcPr>
            <w:tcW w:w="104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2</w:t>
            </w:r>
          </w:p>
        </w:tc>
        <w:tc>
          <w:tcPr>
            <w:tcW w:w="1060" w:type="dxa"/>
            <w:tcBorders>
              <w:top w:val="nil"/>
              <w:left w:val="single" w:sz="8" w:space="0" w:color="auto"/>
              <w:bottom w:val="nil"/>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1</w:t>
            </w:r>
          </w:p>
        </w:tc>
        <w:tc>
          <w:tcPr>
            <w:tcW w:w="1160" w:type="dxa"/>
            <w:tcBorders>
              <w:top w:val="nil"/>
              <w:left w:val="single" w:sz="8" w:space="0" w:color="auto"/>
              <w:bottom w:val="nil"/>
              <w:right w:val="single" w:sz="8" w:space="0" w:color="auto"/>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3</w:t>
            </w:r>
          </w:p>
        </w:tc>
      </w:tr>
      <w:tr w:rsidR="00212EA5" w:rsidRPr="00212EA5" w:rsidTr="00212EA5">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212EA5" w:rsidRPr="00212EA5" w:rsidRDefault="00212EA5" w:rsidP="00212EA5">
            <w:pPr>
              <w:jc w:val="center"/>
              <w:rPr>
                <w:rFonts w:ascii="Calibri" w:hAnsi="Calibri"/>
                <w:sz w:val="18"/>
                <w:szCs w:val="18"/>
              </w:rPr>
            </w:pPr>
            <w:r w:rsidRPr="00212EA5">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212EA5" w:rsidRPr="00212EA5" w:rsidRDefault="00212EA5" w:rsidP="00212EA5">
            <w:pPr>
              <w:jc w:val="center"/>
              <w:rPr>
                <w:rFonts w:ascii="Calibri" w:hAnsi="Calibri"/>
                <w:b/>
                <w:bCs/>
                <w:sz w:val="18"/>
                <w:szCs w:val="18"/>
              </w:rPr>
            </w:pPr>
            <w:r w:rsidRPr="00212EA5">
              <w:rPr>
                <w:rFonts w:ascii="Calibri" w:hAnsi="Calibri"/>
                <w:b/>
                <w:bCs/>
                <w:sz w:val="18"/>
                <w:szCs w:val="18"/>
              </w:rPr>
              <w:t>Others( For age from 1 month to 5 yrs)</w:t>
            </w:r>
          </w:p>
        </w:tc>
      </w:tr>
      <w:tr w:rsidR="00212EA5" w:rsidRPr="00212EA5" w:rsidTr="00212EA5">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Total</w:t>
            </w:r>
          </w:p>
        </w:tc>
      </w:tr>
      <w:tr w:rsidR="00212EA5" w:rsidRPr="00212EA5" w:rsidTr="00212EA5">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4</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4</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87</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46</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133</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55</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212EA5" w:rsidRPr="00212EA5" w:rsidRDefault="00212EA5" w:rsidP="00212EA5">
            <w:pPr>
              <w:jc w:val="center"/>
              <w:rPr>
                <w:rFonts w:ascii="Calibri" w:hAnsi="Calibri"/>
                <w:sz w:val="16"/>
                <w:szCs w:val="16"/>
              </w:rPr>
            </w:pPr>
            <w:r w:rsidRPr="00212EA5">
              <w:rPr>
                <w:rFonts w:ascii="Calibri" w:hAnsi="Calibri"/>
                <w:sz w:val="16"/>
                <w:szCs w:val="16"/>
              </w:rPr>
              <w:t>80</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212EA5" w:rsidRPr="00212EA5" w:rsidRDefault="00212EA5" w:rsidP="00212EA5">
            <w:pPr>
              <w:jc w:val="center"/>
              <w:rPr>
                <w:rFonts w:ascii="Calibri" w:hAnsi="Calibri"/>
                <w:b/>
                <w:bCs/>
                <w:sz w:val="16"/>
                <w:szCs w:val="16"/>
              </w:rPr>
            </w:pPr>
            <w:r w:rsidRPr="00212EA5">
              <w:rPr>
                <w:rFonts w:ascii="Calibri" w:hAnsi="Calibri"/>
                <w:b/>
                <w:bCs/>
                <w:sz w:val="16"/>
                <w:szCs w:val="16"/>
              </w:rPr>
              <w:t>135</w:t>
            </w:r>
          </w:p>
        </w:tc>
      </w:tr>
    </w:tbl>
    <w:p w:rsidR="00BE1BC7" w:rsidRDefault="00BE1BC7" w:rsidP="00D440F0">
      <w:pPr>
        <w:jc w:val="center"/>
      </w:pPr>
    </w:p>
    <w:p w:rsidR="00BE1BC7" w:rsidRDefault="00BE1BC7" w:rsidP="00D440F0">
      <w:pPr>
        <w:jc w:val="center"/>
      </w:pPr>
    </w:p>
    <w:p w:rsidR="004D687A" w:rsidRDefault="004D687A" w:rsidP="00D440F0">
      <w:pPr>
        <w:jc w:val="center"/>
      </w:pPr>
    </w:p>
    <w:p w:rsidR="004D687A" w:rsidRDefault="004D687A" w:rsidP="00D440F0">
      <w:pPr>
        <w:jc w:val="center"/>
      </w:pPr>
    </w:p>
    <w:p w:rsidR="00212EA5" w:rsidRDefault="00212EA5" w:rsidP="00D440F0">
      <w:pPr>
        <w:jc w:val="center"/>
      </w:pPr>
    </w:p>
    <w:p w:rsidR="00212EA5" w:rsidRDefault="00212EA5" w:rsidP="00D440F0">
      <w:pPr>
        <w:jc w:val="center"/>
      </w:pPr>
      <w:r w:rsidRPr="00212EA5">
        <w:lastRenderedPageBreak/>
        <w:drawing>
          <wp:inline distT="0" distB="0" distL="0" distR="0">
            <wp:extent cx="6515100" cy="3819525"/>
            <wp:effectExtent l="57150" t="0" r="57150" b="666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2EA5" w:rsidRDefault="00212EA5" w:rsidP="00D440F0">
      <w:pPr>
        <w:jc w:val="center"/>
      </w:pPr>
    </w:p>
    <w:p w:rsidR="00212EA5" w:rsidRDefault="00212EA5" w:rsidP="00D440F0">
      <w:pPr>
        <w:jc w:val="center"/>
      </w:pPr>
    </w:p>
    <w:p w:rsidR="00212EA5" w:rsidRDefault="00212EA5" w:rsidP="00D440F0">
      <w:pPr>
        <w:jc w:val="center"/>
      </w:pPr>
    </w:p>
    <w:p w:rsidR="00212EA5" w:rsidRDefault="00212EA5" w:rsidP="00D440F0">
      <w:pPr>
        <w:jc w:val="center"/>
      </w:pPr>
      <w:r w:rsidRPr="00212EA5">
        <w:drawing>
          <wp:inline distT="0" distB="0" distL="0" distR="0">
            <wp:extent cx="6496050" cy="3819525"/>
            <wp:effectExtent l="57150" t="0" r="57150" b="666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12EA5" w:rsidRDefault="00212EA5" w:rsidP="00D440F0">
      <w:pPr>
        <w:jc w:val="center"/>
      </w:pPr>
    </w:p>
    <w:p w:rsidR="00212EA5" w:rsidRDefault="00212EA5" w:rsidP="00D440F0">
      <w:pPr>
        <w:jc w:val="center"/>
      </w:pPr>
    </w:p>
    <w:p w:rsidR="00212EA5" w:rsidRDefault="00212EA5" w:rsidP="00D440F0">
      <w:pPr>
        <w:jc w:val="center"/>
      </w:pPr>
    </w:p>
    <w:p w:rsidR="00212EA5" w:rsidRDefault="00212EA5" w:rsidP="00D440F0">
      <w:pPr>
        <w:jc w:val="center"/>
      </w:pPr>
    </w:p>
    <w:tbl>
      <w:tblPr>
        <w:tblW w:w="9960" w:type="dxa"/>
        <w:jc w:val="center"/>
        <w:tblInd w:w="93" w:type="dxa"/>
        <w:tblLook w:val="04A0"/>
      </w:tblPr>
      <w:tblGrid>
        <w:gridCol w:w="2860"/>
        <w:gridCol w:w="1920"/>
        <w:gridCol w:w="2320"/>
        <w:gridCol w:w="2860"/>
      </w:tblGrid>
      <w:tr w:rsidR="006110AA" w:rsidRPr="006110AA" w:rsidTr="006110AA">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6110AA" w:rsidRPr="006110AA" w:rsidRDefault="006110AA" w:rsidP="006110AA">
            <w:pPr>
              <w:jc w:val="center"/>
              <w:rPr>
                <w:rFonts w:ascii="Calibri" w:hAnsi="Calibri"/>
                <w:b/>
                <w:bCs/>
                <w:sz w:val="18"/>
                <w:szCs w:val="18"/>
              </w:rPr>
            </w:pPr>
            <w:r w:rsidRPr="006110AA">
              <w:rPr>
                <w:rFonts w:ascii="Calibri" w:hAnsi="Calibri"/>
                <w:b/>
                <w:bCs/>
                <w:sz w:val="18"/>
                <w:szCs w:val="18"/>
              </w:rPr>
              <w:lastRenderedPageBreak/>
              <w:t>MP-BalaghatMaternal Deaths &amp; Causes-Apr'13 to Mar'14</w:t>
            </w:r>
          </w:p>
        </w:tc>
      </w:tr>
      <w:tr w:rsidR="006110AA" w:rsidRPr="006110AA" w:rsidTr="006110AA">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 against total reported known causes</w:t>
            </w:r>
          </w:p>
        </w:tc>
      </w:tr>
      <w:tr w:rsidR="006110AA" w:rsidRPr="006110AA" w:rsidTr="006110A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6110AA" w:rsidRPr="006110AA" w:rsidRDefault="006110AA" w:rsidP="006110AA">
            <w:pPr>
              <w:jc w:val="center"/>
              <w:rPr>
                <w:rFonts w:ascii="Calibri" w:hAnsi="Calibri"/>
                <w:sz w:val="16"/>
                <w:szCs w:val="16"/>
              </w:rPr>
            </w:pPr>
          </w:p>
        </w:tc>
      </w:tr>
      <w:tr w:rsidR="006110AA" w:rsidRPr="006110AA" w:rsidTr="006110AA">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6110AA" w:rsidRPr="006110AA" w:rsidRDefault="006110AA" w:rsidP="006110AA">
            <w:pPr>
              <w:jc w:val="center"/>
              <w:rPr>
                <w:rFonts w:ascii="Calibri" w:hAnsi="Calibri"/>
                <w:sz w:val="16"/>
                <w:szCs w:val="16"/>
              </w:rPr>
            </w:pPr>
          </w:p>
        </w:tc>
      </w:tr>
      <w:tr w:rsidR="006110AA" w:rsidRPr="006110AA" w:rsidTr="006110A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6110AA" w:rsidRPr="006110AA" w:rsidRDefault="006110AA" w:rsidP="006110AA">
            <w:pPr>
              <w:jc w:val="center"/>
              <w:rPr>
                <w:rFonts w:ascii="Calibri" w:hAnsi="Calibri"/>
                <w:sz w:val="16"/>
                <w:szCs w:val="16"/>
              </w:rPr>
            </w:pPr>
          </w:p>
        </w:tc>
      </w:tr>
      <w:tr w:rsidR="006110AA" w:rsidRPr="006110AA" w:rsidTr="006110A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6110AA" w:rsidRPr="006110AA" w:rsidRDefault="006110AA" w:rsidP="006110AA">
            <w:pPr>
              <w:jc w:val="center"/>
              <w:rPr>
                <w:rFonts w:ascii="Calibri" w:hAnsi="Calibri"/>
                <w:sz w:val="16"/>
                <w:szCs w:val="16"/>
              </w:rPr>
            </w:pPr>
          </w:p>
        </w:tc>
      </w:tr>
      <w:tr w:rsidR="006110AA" w:rsidRPr="006110AA" w:rsidTr="006110A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6110AA" w:rsidRPr="006110AA" w:rsidRDefault="006110AA" w:rsidP="006110AA">
            <w:pPr>
              <w:jc w:val="center"/>
              <w:rPr>
                <w:rFonts w:ascii="Calibri" w:hAnsi="Calibri"/>
                <w:sz w:val="16"/>
                <w:szCs w:val="16"/>
              </w:rPr>
            </w:pPr>
          </w:p>
        </w:tc>
      </w:tr>
      <w:tr w:rsidR="006110AA" w:rsidRPr="006110AA" w:rsidTr="006110AA">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b/>
                <w:bCs/>
                <w:sz w:val="16"/>
                <w:szCs w:val="16"/>
              </w:rPr>
            </w:pPr>
            <w:r w:rsidRPr="006110AA">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22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6110AA" w:rsidRPr="006110AA" w:rsidRDefault="006110AA" w:rsidP="006110AA">
            <w:pPr>
              <w:jc w:val="center"/>
              <w:rPr>
                <w:rFonts w:ascii="Calibri" w:hAnsi="Calibri"/>
                <w:sz w:val="16"/>
                <w:szCs w:val="16"/>
              </w:rPr>
            </w:pPr>
            <w:r w:rsidRPr="006110AA">
              <w:rPr>
                <w:rFonts w:ascii="Calibri" w:hAnsi="Calibri"/>
                <w:sz w:val="16"/>
                <w:szCs w:val="16"/>
              </w:rPr>
              <w:t>100.0%</w:t>
            </w:r>
          </w:p>
        </w:tc>
        <w:tc>
          <w:tcPr>
            <w:tcW w:w="2860" w:type="dxa"/>
            <w:tcBorders>
              <w:top w:val="nil"/>
              <w:left w:val="nil"/>
              <w:bottom w:val="single" w:sz="4" w:space="0" w:color="auto"/>
              <w:right w:val="single" w:sz="8" w:space="0" w:color="auto"/>
            </w:tcBorders>
            <w:shd w:val="clear" w:color="000000" w:fill="F2DDDC"/>
            <w:vAlign w:val="center"/>
            <w:hideMark/>
          </w:tcPr>
          <w:p w:rsidR="006110AA" w:rsidRPr="006110AA" w:rsidRDefault="006110AA" w:rsidP="006110AA">
            <w:pPr>
              <w:jc w:val="center"/>
              <w:rPr>
                <w:rFonts w:ascii="Calibri" w:hAnsi="Calibri"/>
                <w:sz w:val="16"/>
                <w:szCs w:val="16"/>
              </w:rPr>
            </w:pPr>
          </w:p>
        </w:tc>
      </w:tr>
      <w:tr w:rsidR="006110AA" w:rsidRPr="006110AA" w:rsidTr="006110AA">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6110AA" w:rsidRPr="006110AA" w:rsidRDefault="006110AA" w:rsidP="006110AA">
            <w:pPr>
              <w:jc w:val="center"/>
              <w:rPr>
                <w:rFonts w:ascii="Calibri" w:hAnsi="Calibri"/>
                <w:b/>
                <w:bCs/>
                <w:sz w:val="18"/>
                <w:szCs w:val="18"/>
              </w:rPr>
            </w:pPr>
            <w:r w:rsidRPr="006110AA">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6110AA" w:rsidRPr="006110AA" w:rsidRDefault="006110AA" w:rsidP="006110AA">
            <w:pPr>
              <w:jc w:val="center"/>
              <w:rPr>
                <w:rFonts w:ascii="Calibri" w:hAnsi="Calibri"/>
                <w:b/>
                <w:bCs/>
                <w:sz w:val="18"/>
                <w:szCs w:val="18"/>
              </w:rPr>
            </w:pPr>
            <w:r w:rsidRPr="006110AA">
              <w:rPr>
                <w:rFonts w:ascii="Calibri" w:hAnsi="Calibri"/>
                <w:b/>
                <w:bCs/>
                <w:sz w:val="18"/>
                <w:szCs w:val="18"/>
              </w:rPr>
              <w:t>22</w:t>
            </w:r>
          </w:p>
        </w:tc>
        <w:tc>
          <w:tcPr>
            <w:tcW w:w="2320" w:type="dxa"/>
            <w:tcBorders>
              <w:top w:val="nil"/>
              <w:left w:val="nil"/>
              <w:bottom w:val="single" w:sz="8" w:space="0" w:color="auto"/>
              <w:right w:val="nil"/>
            </w:tcBorders>
            <w:shd w:val="clear" w:color="000000" w:fill="F2DDDC"/>
            <w:vAlign w:val="center"/>
            <w:hideMark/>
          </w:tcPr>
          <w:p w:rsidR="006110AA" w:rsidRPr="006110AA" w:rsidRDefault="006110AA" w:rsidP="006110AA">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6110AA" w:rsidRPr="006110AA" w:rsidRDefault="006110AA" w:rsidP="006110AA">
            <w:pPr>
              <w:jc w:val="center"/>
              <w:rPr>
                <w:rFonts w:ascii="Calibri" w:hAnsi="Calibri"/>
                <w:sz w:val="16"/>
                <w:szCs w:val="16"/>
              </w:rPr>
            </w:pPr>
          </w:p>
        </w:tc>
      </w:tr>
    </w:tbl>
    <w:p w:rsidR="00212EA5" w:rsidRDefault="00212EA5" w:rsidP="00D440F0">
      <w:pPr>
        <w:jc w:val="center"/>
      </w:pPr>
    </w:p>
    <w:p w:rsidR="006110AA" w:rsidRDefault="006110AA" w:rsidP="00D440F0">
      <w:pPr>
        <w:jc w:val="center"/>
      </w:pPr>
    </w:p>
    <w:tbl>
      <w:tblPr>
        <w:tblW w:w="9920" w:type="dxa"/>
        <w:jc w:val="center"/>
        <w:tblLook w:val="04A0"/>
      </w:tblPr>
      <w:tblGrid>
        <w:gridCol w:w="2100"/>
        <w:gridCol w:w="1960"/>
        <w:gridCol w:w="1960"/>
        <w:gridCol w:w="1960"/>
        <w:gridCol w:w="1940"/>
      </w:tblGrid>
      <w:tr w:rsidR="00640392" w:rsidRPr="00640392" w:rsidTr="00640392">
        <w:trPr>
          <w:trHeight w:val="576"/>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640392" w:rsidRPr="00640392" w:rsidRDefault="00640392" w:rsidP="00640392">
            <w:pPr>
              <w:jc w:val="center"/>
              <w:rPr>
                <w:rFonts w:ascii="Calibri" w:hAnsi="Calibri"/>
                <w:b/>
                <w:bCs/>
                <w:sz w:val="18"/>
                <w:szCs w:val="18"/>
              </w:rPr>
            </w:pPr>
            <w:r w:rsidRPr="00640392">
              <w:rPr>
                <w:rFonts w:ascii="Calibri" w:hAnsi="Calibri"/>
                <w:b/>
                <w:bCs/>
                <w:sz w:val="18"/>
                <w:szCs w:val="18"/>
              </w:rPr>
              <w:t>MP-Balaghat - Causes of deaths above 6 yrs of age-Apr'13 to Mar'14</w:t>
            </w:r>
          </w:p>
        </w:tc>
      </w:tr>
      <w:tr w:rsidR="00640392" w:rsidRPr="00640392" w:rsidTr="00640392">
        <w:trPr>
          <w:trHeight w:val="576"/>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640392" w:rsidRPr="00640392" w:rsidRDefault="00640392" w:rsidP="00640392">
            <w:pPr>
              <w:rPr>
                <w:rFonts w:ascii="Calibri" w:hAnsi="Calibri"/>
                <w:b/>
                <w:bCs/>
                <w:sz w:val="16"/>
                <w:szCs w:val="16"/>
              </w:rPr>
            </w:pPr>
            <w:r w:rsidRPr="00640392">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 xml:space="preserve"> Total </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6</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Respiratory Diseases</w:t>
            </w:r>
            <w:r w:rsidRPr="00640392">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7</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10</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56</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243</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409</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708</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81</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183</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264</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43</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287</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330</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29</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5</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36</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21</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9</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30</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7</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9</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15</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21</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36</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34</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42</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76</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7</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463</w:t>
            </w:r>
          </w:p>
        </w:tc>
        <w:tc>
          <w:tcPr>
            <w:tcW w:w="196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1,241</w:t>
            </w:r>
          </w:p>
        </w:tc>
        <w:tc>
          <w:tcPr>
            <w:tcW w:w="1940" w:type="dxa"/>
            <w:tcBorders>
              <w:top w:val="nil"/>
              <w:left w:val="nil"/>
              <w:bottom w:val="single" w:sz="4" w:space="0" w:color="auto"/>
              <w:right w:val="single" w:sz="4" w:space="0" w:color="auto"/>
            </w:tcBorders>
            <w:shd w:val="clear" w:color="auto" w:fill="auto"/>
            <w:vAlign w:val="center"/>
            <w:hideMark/>
          </w:tcPr>
          <w:p w:rsidR="00640392" w:rsidRPr="00640392" w:rsidRDefault="00640392" w:rsidP="00640392">
            <w:pPr>
              <w:jc w:val="center"/>
              <w:rPr>
                <w:rFonts w:ascii="Calibri" w:hAnsi="Calibri"/>
                <w:sz w:val="16"/>
                <w:szCs w:val="16"/>
              </w:rPr>
            </w:pPr>
            <w:r w:rsidRPr="00640392">
              <w:rPr>
                <w:rFonts w:ascii="Calibri" w:hAnsi="Calibri"/>
                <w:sz w:val="16"/>
                <w:szCs w:val="16"/>
              </w:rPr>
              <w:t>1,711</w:t>
            </w:r>
          </w:p>
        </w:tc>
      </w:tr>
      <w:tr w:rsidR="00640392" w:rsidRPr="00640392" w:rsidTr="00640392">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640392" w:rsidRPr="00640392" w:rsidRDefault="00640392" w:rsidP="00640392">
            <w:pPr>
              <w:rPr>
                <w:rFonts w:ascii="Calibri" w:hAnsi="Calibri"/>
                <w:b/>
                <w:bCs/>
                <w:sz w:val="16"/>
                <w:szCs w:val="16"/>
              </w:rPr>
            </w:pPr>
            <w:r w:rsidRPr="00640392">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67</w:t>
            </w:r>
          </w:p>
        </w:tc>
        <w:tc>
          <w:tcPr>
            <w:tcW w:w="1960" w:type="dxa"/>
            <w:tcBorders>
              <w:top w:val="nil"/>
              <w:left w:val="nil"/>
              <w:bottom w:val="single" w:sz="4" w:space="0" w:color="auto"/>
              <w:right w:val="single" w:sz="4" w:space="0" w:color="auto"/>
            </w:tcBorders>
            <w:shd w:val="clear" w:color="000000" w:fill="F2F2F2"/>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946</w:t>
            </w:r>
          </w:p>
        </w:tc>
        <w:tc>
          <w:tcPr>
            <w:tcW w:w="1960" w:type="dxa"/>
            <w:tcBorders>
              <w:top w:val="nil"/>
              <w:left w:val="nil"/>
              <w:bottom w:val="single" w:sz="4" w:space="0" w:color="auto"/>
              <w:right w:val="single" w:sz="4" w:space="0" w:color="auto"/>
            </w:tcBorders>
            <w:shd w:val="clear" w:color="000000" w:fill="F2F2F2"/>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2,207</w:t>
            </w:r>
          </w:p>
        </w:tc>
        <w:tc>
          <w:tcPr>
            <w:tcW w:w="1940" w:type="dxa"/>
            <w:tcBorders>
              <w:top w:val="nil"/>
              <w:left w:val="nil"/>
              <w:bottom w:val="single" w:sz="4" w:space="0" w:color="auto"/>
              <w:right w:val="single" w:sz="4" w:space="0" w:color="auto"/>
            </w:tcBorders>
            <w:shd w:val="clear" w:color="000000" w:fill="F2F2F2"/>
            <w:vAlign w:val="center"/>
            <w:hideMark/>
          </w:tcPr>
          <w:p w:rsidR="00640392" w:rsidRPr="00640392" w:rsidRDefault="00640392" w:rsidP="00640392">
            <w:pPr>
              <w:jc w:val="center"/>
              <w:rPr>
                <w:rFonts w:ascii="Calibri" w:hAnsi="Calibri"/>
                <w:b/>
                <w:bCs/>
                <w:sz w:val="16"/>
                <w:szCs w:val="16"/>
              </w:rPr>
            </w:pPr>
            <w:r w:rsidRPr="00640392">
              <w:rPr>
                <w:rFonts w:ascii="Calibri" w:hAnsi="Calibri"/>
                <w:b/>
                <w:bCs/>
                <w:sz w:val="16"/>
                <w:szCs w:val="16"/>
              </w:rPr>
              <w:t>3,220</w:t>
            </w:r>
          </w:p>
        </w:tc>
      </w:tr>
    </w:tbl>
    <w:p w:rsidR="006110AA" w:rsidRDefault="006110AA" w:rsidP="00D440F0">
      <w:pPr>
        <w:jc w:val="center"/>
      </w:pPr>
    </w:p>
    <w:p w:rsidR="00640392" w:rsidRDefault="009913EA" w:rsidP="00D440F0">
      <w:pPr>
        <w:jc w:val="center"/>
      </w:pPr>
      <w:r w:rsidRPr="009913EA">
        <w:lastRenderedPageBreak/>
        <w:drawing>
          <wp:inline distT="0" distB="0" distL="0" distR="0">
            <wp:extent cx="6524625" cy="4152900"/>
            <wp:effectExtent l="57150" t="0" r="47625" b="762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13EA" w:rsidRDefault="009913EA" w:rsidP="00D440F0">
      <w:pPr>
        <w:jc w:val="center"/>
      </w:pPr>
    </w:p>
    <w:p w:rsidR="009913EA" w:rsidRDefault="003839A3" w:rsidP="00D440F0">
      <w:pPr>
        <w:jc w:val="center"/>
      </w:pPr>
      <w:r w:rsidRPr="003839A3">
        <w:drawing>
          <wp:inline distT="0" distB="0" distL="0" distR="0">
            <wp:extent cx="6562725" cy="4305300"/>
            <wp:effectExtent l="57150" t="0" r="47625" b="762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p w:rsidR="003839A3" w:rsidRDefault="003839A3" w:rsidP="00D440F0">
      <w:pPr>
        <w:jc w:val="center"/>
      </w:pPr>
    </w:p>
    <w:sectPr w:rsidR="003839A3" w:rsidSect="00231E65">
      <w:headerReference w:type="default" r:id="rId32"/>
      <w:footerReference w:type="default" r:id="rId33"/>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A87" w:rsidRDefault="008E6A87" w:rsidP="00D440F0">
      <w:r>
        <w:separator/>
      </w:r>
    </w:p>
  </w:endnote>
  <w:endnote w:type="continuationSeparator" w:id="1">
    <w:p w:rsidR="008E6A87" w:rsidRDefault="008E6A87"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932708">
              <w:rPr>
                <w:b/>
                <w:bCs/>
                <w:sz w:val="24"/>
                <w:szCs w:val="24"/>
              </w:rPr>
              <w:fldChar w:fldCharType="begin"/>
            </w:r>
            <w:r>
              <w:rPr>
                <w:b/>
                <w:bCs/>
              </w:rPr>
              <w:instrText xml:space="preserve"> PAGE </w:instrText>
            </w:r>
            <w:r w:rsidR="00932708">
              <w:rPr>
                <w:b/>
                <w:bCs/>
                <w:sz w:val="24"/>
                <w:szCs w:val="24"/>
              </w:rPr>
              <w:fldChar w:fldCharType="separate"/>
            </w:r>
            <w:r w:rsidR="003839A3">
              <w:rPr>
                <w:b/>
                <w:bCs/>
                <w:noProof/>
              </w:rPr>
              <w:t>23</w:t>
            </w:r>
            <w:r w:rsidR="00932708">
              <w:rPr>
                <w:b/>
                <w:bCs/>
                <w:sz w:val="24"/>
                <w:szCs w:val="24"/>
              </w:rPr>
              <w:fldChar w:fldCharType="end"/>
            </w:r>
            <w:r>
              <w:t xml:space="preserve"> of </w:t>
            </w:r>
            <w:r w:rsidR="00932708">
              <w:rPr>
                <w:b/>
                <w:bCs/>
                <w:sz w:val="24"/>
                <w:szCs w:val="24"/>
              </w:rPr>
              <w:fldChar w:fldCharType="begin"/>
            </w:r>
            <w:r>
              <w:rPr>
                <w:b/>
                <w:bCs/>
              </w:rPr>
              <w:instrText xml:space="preserve"> NUMPAGES  </w:instrText>
            </w:r>
            <w:r w:rsidR="00932708">
              <w:rPr>
                <w:b/>
                <w:bCs/>
                <w:sz w:val="24"/>
                <w:szCs w:val="24"/>
              </w:rPr>
              <w:fldChar w:fldCharType="separate"/>
            </w:r>
            <w:r w:rsidR="003839A3">
              <w:rPr>
                <w:b/>
                <w:bCs/>
                <w:noProof/>
              </w:rPr>
              <w:t>23</w:t>
            </w:r>
            <w:r w:rsidR="00932708">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A87" w:rsidRDefault="008E6A87" w:rsidP="00D440F0">
      <w:r>
        <w:separator/>
      </w:r>
    </w:p>
  </w:footnote>
  <w:footnote w:type="continuationSeparator" w:id="1">
    <w:p w:rsidR="008E6A87" w:rsidRDefault="008E6A87"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6.5pt;height:31.5pt;visibility:visible" o:bullet="t">
        <v:imagedata r:id="rId1" o:title=""/>
      </v:shape>
    </w:pict>
  </w:numPicBullet>
  <w:numPicBullet w:numPicBulletId="1">
    <w:pict>
      <v:shape id="_x0000_i1095"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81C81"/>
    <w:rsid w:val="000845AF"/>
    <w:rsid w:val="000A6653"/>
    <w:rsid w:val="000B64AA"/>
    <w:rsid w:val="000D562E"/>
    <w:rsid w:val="00124E1D"/>
    <w:rsid w:val="00135414"/>
    <w:rsid w:val="001368AD"/>
    <w:rsid w:val="00140C57"/>
    <w:rsid w:val="00175CBE"/>
    <w:rsid w:val="00180DBF"/>
    <w:rsid w:val="001962AD"/>
    <w:rsid w:val="001A7CFB"/>
    <w:rsid w:val="001B0EF9"/>
    <w:rsid w:val="001F2E91"/>
    <w:rsid w:val="001F3CC8"/>
    <w:rsid w:val="001F6A8A"/>
    <w:rsid w:val="00203434"/>
    <w:rsid w:val="00210126"/>
    <w:rsid w:val="00211A98"/>
    <w:rsid w:val="00212EA5"/>
    <w:rsid w:val="0021671A"/>
    <w:rsid w:val="00217A6E"/>
    <w:rsid w:val="00231E65"/>
    <w:rsid w:val="0024279D"/>
    <w:rsid w:val="002471E8"/>
    <w:rsid w:val="00251AA8"/>
    <w:rsid w:val="00252DD1"/>
    <w:rsid w:val="002531F4"/>
    <w:rsid w:val="002534E9"/>
    <w:rsid w:val="00257976"/>
    <w:rsid w:val="002714F4"/>
    <w:rsid w:val="0027693E"/>
    <w:rsid w:val="002839BE"/>
    <w:rsid w:val="00287AF9"/>
    <w:rsid w:val="00295020"/>
    <w:rsid w:val="002969B0"/>
    <w:rsid w:val="002B20EC"/>
    <w:rsid w:val="002C313D"/>
    <w:rsid w:val="002D0811"/>
    <w:rsid w:val="002E31DC"/>
    <w:rsid w:val="003121D6"/>
    <w:rsid w:val="00313062"/>
    <w:rsid w:val="00326798"/>
    <w:rsid w:val="00327CCA"/>
    <w:rsid w:val="00332BC8"/>
    <w:rsid w:val="0035031E"/>
    <w:rsid w:val="00356396"/>
    <w:rsid w:val="00363173"/>
    <w:rsid w:val="003653D8"/>
    <w:rsid w:val="0037000B"/>
    <w:rsid w:val="003839A3"/>
    <w:rsid w:val="00392969"/>
    <w:rsid w:val="003A6C26"/>
    <w:rsid w:val="003C2408"/>
    <w:rsid w:val="003C745E"/>
    <w:rsid w:val="00407B7A"/>
    <w:rsid w:val="0041476B"/>
    <w:rsid w:val="0043334E"/>
    <w:rsid w:val="004457F0"/>
    <w:rsid w:val="0046336E"/>
    <w:rsid w:val="004A5AE5"/>
    <w:rsid w:val="004B17DE"/>
    <w:rsid w:val="004B2F0B"/>
    <w:rsid w:val="004C0558"/>
    <w:rsid w:val="004D668F"/>
    <w:rsid w:val="004D687A"/>
    <w:rsid w:val="004D6C0B"/>
    <w:rsid w:val="0050334D"/>
    <w:rsid w:val="005130B8"/>
    <w:rsid w:val="00517CFC"/>
    <w:rsid w:val="00520E67"/>
    <w:rsid w:val="00524509"/>
    <w:rsid w:val="005335C9"/>
    <w:rsid w:val="00553C81"/>
    <w:rsid w:val="00560AB9"/>
    <w:rsid w:val="00561044"/>
    <w:rsid w:val="005731BA"/>
    <w:rsid w:val="00581139"/>
    <w:rsid w:val="00583518"/>
    <w:rsid w:val="00596C53"/>
    <w:rsid w:val="005B22AC"/>
    <w:rsid w:val="005C5A06"/>
    <w:rsid w:val="005C5D05"/>
    <w:rsid w:val="005C7B30"/>
    <w:rsid w:val="005F1B58"/>
    <w:rsid w:val="00610D33"/>
    <w:rsid w:val="006110AA"/>
    <w:rsid w:val="00623136"/>
    <w:rsid w:val="00630296"/>
    <w:rsid w:val="00636DA0"/>
    <w:rsid w:val="00640392"/>
    <w:rsid w:val="0066484A"/>
    <w:rsid w:val="00683F7C"/>
    <w:rsid w:val="00693EAB"/>
    <w:rsid w:val="006D27A4"/>
    <w:rsid w:val="006E0E69"/>
    <w:rsid w:val="007000F6"/>
    <w:rsid w:val="00735175"/>
    <w:rsid w:val="00741CED"/>
    <w:rsid w:val="0074677D"/>
    <w:rsid w:val="00763AA9"/>
    <w:rsid w:val="007669FE"/>
    <w:rsid w:val="00772A20"/>
    <w:rsid w:val="00796F04"/>
    <w:rsid w:val="007A7678"/>
    <w:rsid w:val="007B0E27"/>
    <w:rsid w:val="007B5C96"/>
    <w:rsid w:val="007B62A5"/>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6A87"/>
    <w:rsid w:val="008F495E"/>
    <w:rsid w:val="008F4C73"/>
    <w:rsid w:val="008F6FFE"/>
    <w:rsid w:val="00900C7E"/>
    <w:rsid w:val="00904B7E"/>
    <w:rsid w:val="009058BE"/>
    <w:rsid w:val="00906CA9"/>
    <w:rsid w:val="00907D51"/>
    <w:rsid w:val="00913718"/>
    <w:rsid w:val="00932708"/>
    <w:rsid w:val="00937EEC"/>
    <w:rsid w:val="00940EB5"/>
    <w:rsid w:val="00941459"/>
    <w:rsid w:val="00966345"/>
    <w:rsid w:val="00970BB4"/>
    <w:rsid w:val="009913EA"/>
    <w:rsid w:val="0099174D"/>
    <w:rsid w:val="009953EE"/>
    <w:rsid w:val="009A1E8B"/>
    <w:rsid w:val="009B4D68"/>
    <w:rsid w:val="00A33687"/>
    <w:rsid w:val="00A61A9F"/>
    <w:rsid w:val="00A658EB"/>
    <w:rsid w:val="00A66989"/>
    <w:rsid w:val="00A74B35"/>
    <w:rsid w:val="00AB5C03"/>
    <w:rsid w:val="00AD4877"/>
    <w:rsid w:val="00AE5ECA"/>
    <w:rsid w:val="00AF05B5"/>
    <w:rsid w:val="00B00CAF"/>
    <w:rsid w:val="00B01126"/>
    <w:rsid w:val="00B13CC0"/>
    <w:rsid w:val="00B4357A"/>
    <w:rsid w:val="00B56D66"/>
    <w:rsid w:val="00B60D80"/>
    <w:rsid w:val="00B93B4E"/>
    <w:rsid w:val="00BA74FF"/>
    <w:rsid w:val="00BD484E"/>
    <w:rsid w:val="00BD504B"/>
    <w:rsid w:val="00BD7603"/>
    <w:rsid w:val="00BE1BC7"/>
    <w:rsid w:val="00C15C8D"/>
    <w:rsid w:val="00C25134"/>
    <w:rsid w:val="00C2588F"/>
    <w:rsid w:val="00C26210"/>
    <w:rsid w:val="00C348C6"/>
    <w:rsid w:val="00C53884"/>
    <w:rsid w:val="00C7744C"/>
    <w:rsid w:val="00C8177E"/>
    <w:rsid w:val="00C873B0"/>
    <w:rsid w:val="00C9344D"/>
    <w:rsid w:val="00CA4664"/>
    <w:rsid w:val="00CB1780"/>
    <w:rsid w:val="00CC312C"/>
    <w:rsid w:val="00CD1CD2"/>
    <w:rsid w:val="00CF4B72"/>
    <w:rsid w:val="00D34CE7"/>
    <w:rsid w:val="00D35BAF"/>
    <w:rsid w:val="00D41D6F"/>
    <w:rsid w:val="00D440F0"/>
    <w:rsid w:val="00D51AF8"/>
    <w:rsid w:val="00D71E8E"/>
    <w:rsid w:val="00D753EF"/>
    <w:rsid w:val="00D774B1"/>
    <w:rsid w:val="00D87353"/>
    <w:rsid w:val="00D9502D"/>
    <w:rsid w:val="00DD0937"/>
    <w:rsid w:val="00E11A61"/>
    <w:rsid w:val="00E24755"/>
    <w:rsid w:val="00E25E48"/>
    <w:rsid w:val="00E37CEC"/>
    <w:rsid w:val="00E458A6"/>
    <w:rsid w:val="00E516E9"/>
    <w:rsid w:val="00E70C4B"/>
    <w:rsid w:val="00E830B3"/>
    <w:rsid w:val="00EA2F4A"/>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94906438">
      <w:bodyDiv w:val="1"/>
      <w:marLeft w:val="0"/>
      <w:marRight w:val="0"/>
      <w:marTop w:val="0"/>
      <w:marBottom w:val="0"/>
      <w:divBdr>
        <w:top w:val="none" w:sz="0" w:space="0" w:color="auto"/>
        <w:left w:val="none" w:sz="0" w:space="0" w:color="auto"/>
        <w:bottom w:val="none" w:sz="0" w:space="0" w:color="auto"/>
        <w:right w:val="none" w:sz="0" w:space="0" w:color="auto"/>
      </w:divBdr>
    </w:div>
    <w:div w:id="112017023">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48131545">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24920165">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64311478">
      <w:bodyDiv w:val="1"/>
      <w:marLeft w:val="0"/>
      <w:marRight w:val="0"/>
      <w:marTop w:val="0"/>
      <w:marBottom w:val="0"/>
      <w:divBdr>
        <w:top w:val="none" w:sz="0" w:space="0" w:color="auto"/>
        <w:left w:val="none" w:sz="0" w:space="0" w:color="auto"/>
        <w:bottom w:val="none" w:sz="0" w:space="0" w:color="auto"/>
        <w:right w:val="none" w:sz="0" w:space="0" w:color="auto"/>
      </w:divBdr>
    </w:div>
    <w:div w:id="282395072">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23972029">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28299333">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4430566">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15159976">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3250391">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60065446">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1283954">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3080017">
      <w:bodyDiv w:val="1"/>
      <w:marLeft w:val="0"/>
      <w:marRight w:val="0"/>
      <w:marTop w:val="0"/>
      <w:marBottom w:val="0"/>
      <w:divBdr>
        <w:top w:val="none" w:sz="0" w:space="0" w:color="auto"/>
        <w:left w:val="none" w:sz="0" w:space="0" w:color="auto"/>
        <w:bottom w:val="none" w:sz="0" w:space="0" w:color="auto"/>
        <w:right w:val="none" w:sz="0" w:space="0" w:color="auto"/>
      </w:divBdr>
    </w:div>
    <w:div w:id="1304313816">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20235012">
      <w:bodyDiv w:val="1"/>
      <w:marLeft w:val="0"/>
      <w:marRight w:val="0"/>
      <w:marTop w:val="0"/>
      <w:marBottom w:val="0"/>
      <w:divBdr>
        <w:top w:val="none" w:sz="0" w:space="0" w:color="auto"/>
        <w:left w:val="none" w:sz="0" w:space="0" w:color="auto"/>
        <w:bottom w:val="none" w:sz="0" w:space="0" w:color="auto"/>
        <w:right w:val="none" w:sz="0" w:space="0" w:color="auto"/>
      </w:divBdr>
    </w:div>
    <w:div w:id="1328971622">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48230559">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63176829">
      <w:bodyDiv w:val="1"/>
      <w:marLeft w:val="0"/>
      <w:marRight w:val="0"/>
      <w:marTop w:val="0"/>
      <w:marBottom w:val="0"/>
      <w:divBdr>
        <w:top w:val="none" w:sz="0" w:space="0" w:color="auto"/>
        <w:left w:val="none" w:sz="0" w:space="0" w:color="auto"/>
        <w:bottom w:val="none" w:sz="0" w:space="0" w:color="auto"/>
        <w:right w:val="none" w:sz="0" w:space="0" w:color="auto"/>
      </w:divBdr>
    </w:div>
    <w:div w:id="1567953660">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44777025">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0191841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86955915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18394972">
      <w:bodyDiv w:val="1"/>
      <w:marLeft w:val="0"/>
      <w:marRight w:val="0"/>
      <w:marTop w:val="0"/>
      <w:marBottom w:val="0"/>
      <w:divBdr>
        <w:top w:val="none" w:sz="0" w:space="0" w:color="auto"/>
        <w:left w:val="none" w:sz="0" w:space="0" w:color="auto"/>
        <w:bottom w:val="none" w:sz="0" w:space="0" w:color="auto"/>
        <w:right w:val="none" w:sz="0" w:space="0" w:color="auto"/>
      </w:divBdr>
    </w:div>
    <w:div w:id="1920947020">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57657400">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88845890">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20836671">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761"/>
          <c:w val="0.59930686789150756"/>
          <c:h val="0.55127296587925245"/>
        </c:manualLayout>
      </c:layout>
      <c:pie3DChart>
        <c:varyColors val="1"/>
        <c:ser>
          <c:idx val="0"/>
          <c:order val="0"/>
          <c:tx>
            <c:strRef>
              <c:f>'ANALYSIS - Balaghat'!$AE$67</c:f>
              <c:strCache>
                <c:ptCount val="1"/>
                <c:pt idx="0">
                  <c:v>MP-Balaghat-  Home ( SBA &amp; Non SBA) &amp; Institutional Deliveries against Expected Deliveries - Apr'13 to Mar'14</c:v>
                </c:pt>
              </c:strCache>
            </c:strRef>
          </c:tx>
          <c:explosion val="25"/>
          <c:dLbls>
            <c:dLbl>
              <c:idx val="0"/>
              <c:layout>
                <c:manualLayout>
                  <c:x val="0"/>
                  <c:y val="-2.4691358024691364E-2"/>
                </c:manualLayout>
              </c:layout>
              <c:dLblPos val="outEnd"/>
              <c:showLegendKey val="1"/>
              <c:showVal val="1"/>
              <c:showCatName val="1"/>
              <c:separator>
</c:separator>
            </c:dLbl>
            <c:dLbl>
              <c:idx val="1"/>
              <c:layout>
                <c:manualLayout>
                  <c:x val="4.8889251269626802E-2"/>
                  <c:y val="3.0399255648599483E-2"/>
                </c:manualLayout>
              </c:layout>
              <c:dLblPos val="bestFit"/>
              <c:showLegendKey val="1"/>
              <c:showVal val="1"/>
              <c:showCatName val="1"/>
              <c:separator>
</c:separator>
            </c:dLbl>
            <c:dLbl>
              <c:idx val="2"/>
              <c:layout>
                <c:manualLayout>
                  <c:x val="2.5641025641025647E-2"/>
                  <c:y val="4.2328042328042333E-2"/>
                </c:manualLayout>
              </c:layout>
              <c:dLblPos val="outEnd"/>
              <c:showLegendKey val="1"/>
              <c:showVal val="1"/>
              <c:showCatName val="1"/>
              <c:separator>
</c:separator>
            </c:dLbl>
            <c:dLbl>
              <c:idx val="3"/>
              <c:layout>
                <c:manualLayout>
                  <c:x val="2.3135628756464632E-2"/>
                  <c:y val="-3.6380452443444546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Balaghat'!$AF$66:$AI$66</c:f>
              <c:strCache>
                <c:ptCount val="4"/>
                <c:pt idx="0">
                  <c:v>Home SBA </c:v>
                </c:pt>
                <c:pt idx="1">
                  <c:v>Home Non SBA</c:v>
                </c:pt>
                <c:pt idx="2">
                  <c:v>Institutional </c:v>
                </c:pt>
                <c:pt idx="3">
                  <c:v>Unreported Deliveries </c:v>
                </c:pt>
              </c:strCache>
            </c:strRef>
          </c:cat>
          <c:val>
            <c:numRef>
              <c:f>'ANALYSIS - Balaghat'!$AF$67:$AI$67</c:f>
              <c:numCache>
                <c:formatCode>0%</c:formatCode>
                <c:ptCount val="4"/>
                <c:pt idx="0">
                  <c:v>9.0004658251460045E-3</c:v>
                </c:pt>
                <c:pt idx="1">
                  <c:v>8.7144236235797173E-2</c:v>
                </c:pt>
                <c:pt idx="2">
                  <c:v>0.62214178840666745</c:v>
                </c:pt>
                <c:pt idx="3">
                  <c:v>0.28171350953238933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Balaghat'!$AA$269</c:f>
              <c:strCache>
                <c:ptCount val="1"/>
                <c:pt idx="0">
                  <c:v>MP-Balaghat-Immunisation ( 0 to 11mnths) Against Estimated Live Births- Apr'13 to Mar'14</c:v>
                </c:pt>
              </c:strCache>
            </c:strRef>
          </c:tx>
          <c:dLbls>
            <c:txPr>
              <a:bodyPr/>
              <a:lstStyle/>
              <a:p>
                <a:pPr>
                  <a:defRPr lang="en-IN" sz="800"/>
                </a:pPr>
                <a:endParaRPr lang="en-US"/>
              </a:p>
            </c:txPr>
            <c:showVal val="1"/>
          </c:dLbls>
          <c:cat>
            <c:strRef>
              <c:f>'ANALYSIS - Balaghat'!$Z$270:$Z$274</c:f>
              <c:strCache>
                <c:ptCount val="5"/>
                <c:pt idx="0">
                  <c:v>BCG %</c:v>
                </c:pt>
                <c:pt idx="1">
                  <c:v>DPT3%</c:v>
                </c:pt>
                <c:pt idx="2">
                  <c:v>OPV3%</c:v>
                </c:pt>
                <c:pt idx="3">
                  <c:v>Measles %</c:v>
                </c:pt>
                <c:pt idx="4">
                  <c:v>Fully Immunised %</c:v>
                </c:pt>
              </c:strCache>
            </c:strRef>
          </c:cat>
          <c:val>
            <c:numRef>
              <c:f>'ANALYSIS - Balaghat'!$AA$270:$AA$274</c:f>
              <c:numCache>
                <c:formatCode>0%</c:formatCode>
                <c:ptCount val="5"/>
                <c:pt idx="0">
                  <c:v>0.77838314327594083</c:v>
                </c:pt>
                <c:pt idx="1">
                  <c:v>0.7318840490128945</c:v>
                </c:pt>
                <c:pt idx="2">
                  <c:v>0.72939257211963127</c:v>
                </c:pt>
                <c:pt idx="3">
                  <c:v>0.69214753488870551</c:v>
                </c:pt>
                <c:pt idx="4">
                  <c:v>0.7243079253986856</c:v>
                </c:pt>
              </c:numCache>
            </c:numRef>
          </c:val>
        </c:ser>
        <c:axId val="64504960"/>
        <c:axId val="64506496"/>
      </c:barChart>
      <c:catAx>
        <c:axId val="64504960"/>
        <c:scaling>
          <c:orientation val="minMax"/>
        </c:scaling>
        <c:axPos val="b"/>
        <c:numFmt formatCode="General" sourceLinked="1"/>
        <c:tickLblPos val="nextTo"/>
        <c:txPr>
          <a:bodyPr rot="0" vert="horz"/>
          <a:lstStyle/>
          <a:p>
            <a:pPr>
              <a:defRPr lang="en-IN" sz="800"/>
            </a:pPr>
            <a:endParaRPr lang="en-US"/>
          </a:p>
        </c:txPr>
        <c:crossAx val="64506496"/>
        <c:crosses val="autoZero"/>
        <c:auto val="1"/>
        <c:lblAlgn val="ctr"/>
        <c:lblOffset val="100"/>
      </c:catAx>
      <c:valAx>
        <c:axId val="64506496"/>
        <c:scaling>
          <c:orientation val="minMax"/>
          <c:min val="0"/>
        </c:scaling>
        <c:axPos val="l"/>
        <c:numFmt formatCode="0%" sourceLinked="1"/>
        <c:tickLblPos val="nextTo"/>
        <c:txPr>
          <a:bodyPr rot="0" vert="horz"/>
          <a:lstStyle/>
          <a:p>
            <a:pPr>
              <a:defRPr lang="en-IN"/>
            </a:pPr>
            <a:endParaRPr lang="en-US"/>
          </a:p>
        </c:txPr>
        <c:crossAx val="645049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Balaghat'!$AD$269</c:f>
              <c:strCache>
                <c:ptCount val="1"/>
                <c:pt idx="0">
                  <c:v>MP-Balaghat-Immunisation ( 0 to 11mnths) Against Reported Live Births- Apr'13 to Mar'14</c:v>
                </c:pt>
              </c:strCache>
            </c:strRef>
          </c:tx>
          <c:dLbls>
            <c:txPr>
              <a:bodyPr/>
              <a:lstStyle/>
              <a:p>
                <a:pPr>
                  <a:defRPr lang="en-IN" b="1"/>
                </a:pPr>
                <a:endParaRPr lang="en-US"/>
              </a:p>
            </c:txPr>
            <c:showVal val="1"/>
          </c:dLbls>
          <c:cat>
            <c:strRef>
              <c:f>'ANALYSIS - Balaghat'!$AC$270:$AC$274</c:f>
              <c:strCache>
                <c:ptCount val="5"/>
                <c:pt idx="0">
                  <c:v>BCG %</c:v>
                </c:pt>
                <c:pt idx="1">
                  <c:v>DPT3%</c:v>
                </c:pt>
                <c:pt idx="2">
                  <c:v>OPV3%</c:v>
                </c:pt>
                <c:pt idx="3">
                  <c:v>Measles %</c:v>
                </c:pt>
                <c:pt idx="4">
                  <c:v>Fully Immunised %</c:v>
                </c:pt>
              </c:strCache>
            </c:strRef>
          </c:cat>
          <c:val>
            <c:numRef>
              <c:f>'ANALYSIS - Balaghat'!$AD$270:$AD$274</c:f>
              <c:numCache>
                <c:formatCode>0%</c:formatCode>
                <c:ptCount val="5"/>
                <c:pt idx="0">
                  <c:v>1.0205326489117033</c:v>
                </c:pt>
                <c:pt idx="1">
                  <c:v>0.95956801439952011</c:v>
                </c:pt>
                <c:pt idx="2">
                  <c:v>0.95630145661811294</c:v>
                </c:pt>
                <c:pt idx="3">
                  <c:v>0.90746975100829963</c:v>
                </c:pt>
                <c:pt idx="4">
                  <c:v>0.94963501216626123</c:v>
                </c:pt>
              </c:numCache>
            </c:numRef>
          </c:val>
        </c:ser>
        <c:axId val="64526592"/>
        <c:axId val="64528384"/>
      </c:barChart>
      <c:catAx>
        <c:axId val="64526592"/>
        <c:scaling>
          <c:orientation val="minMax"/>
        </c:scaling>
        <c:axPos val="b"/>
        <c:numFmt formatCode="General" sourceLinked="1"/>
        <c:tickLblPos val="nextTo"/>
        <c:txPr>
          <a:bodyPr rot="0" vert="horz"/>
          <a:lstStyle/>
          <a:p>
            <a:pPr>
              <a:defRPr lang="en-IN" sz="800" b="1"/>
            </a:pPr>
            <a:endParaRPr lang="en-US"/>
          </a:p>
        </c:txPr>
        <c:crossAx val="64528384"/>
        <c:crosses val="autoZero"/>
        <c:auto val="1"/>
        <c:lblAlgn val="ctr"/>
        <c:lblOffset val="100"/>
      </c:catAx>
      <c:valAx>
        <c:axId val="64528384"/>
        <c:scaling>
          <c:orientation val="minMax"/>
          <c:min val="0"/>
        </c:scaling>
        <c:axPos val="l"/>
        <c:numFmt formatCode="0%" sourceLinked="1"/>
        <c:tickLblPos val="nextTo"/>
        <c:txPr>
          <a:bodyPr rot="0" vert="horz"/>
          <a:lstStyle/>
          <a:p>
            <a:pPr>
              <a:defRPr lang="en-IN" b="1"/>
            </a:pPr>
            <a:endParaRPr lang="en-US"/>
          </a:p>
        </c:txPr>
        <c:crossAx val="645265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Balaghat'!$Z$309</c:f>
              <c:strCache>
                <c:ptCount val="1"/>
                <c:pt idx="0">
                  <c:v>MP-Balaghat-Immunisation Sessions- Apr'13 to Mar'14</c:v>
                </c:pt>
              </c:strCache>
            </c:strRef>
          </c:tx>
          <c:dLbls>
            <c:txPr>
              <a:bodyPr/>
              <a:lstStyle/>
              <a:p>
                <a:pPr>
                  <a:defRPr lang="en-IN" sz="800" b="1"/>
                </a:pPr>
                <a:endParaRPr lang="en-US"/>
              </a:p>
            </c:txPr>
            <c:showVal val="1"/>
          </c:dLbls>
          <c:cat>
            <c:strRef>
              <c:f>'ANALYSIS - Balaghat'!$AA$308:$AC$308</c:f>
              <c:strCache>
                <c:ptCount val="3"/>
                <c:pt idx="0">
                  <c:v>Immunisation sessions planned</c:v>
                </c:pt>
                <c:pt idx="1">
                  <c:v>Immunisation sessions Held</c:v>
                </c:pt>
                <c:pt idx="2">
                  <c:v>Sessions where ASHAs were present</c:v>
                </c:pt>
              </c:strCache>
            </c:strRef>
          </c:cat>
          <c:val>
            <c:numRef>
              <c:f>'ANALYSIS - Balaghat'!$AA$309:$AC$309</c:f>
              <c:numCache>
                <c:formatCode>_(* #,##0_);_(* \(#,##0\);_(* "-"??_);_(@_)</c:formatCode>
                <c:ptCount val="3"/>
                <c:pt idx="0">
                  <c:v>18420</c:v>
                </c:pt>
                <c:pt idx="1">
                  <c:v>17989</c:v>
                </c:pt>
                <c:pt idx="2">
                  <c:v>15023</c:v>
                </c:pt>
              </c:numCache>
            </c:numRef>
          </c:val>
        </c:ser>
        <c:axId val="64535936"/>
        <c:axId val="64541824"/>
      </c:barChart>
      <c:catAx>
        <c:axId val="64535936"/>
        <c:scaling>
          <c:orientation val="minMax"/>
        </c:scaling>
        <c:axPos val="b"/>
        <c:numFmt formatCode="General" sourceLinked="1"/>
        <c:tickLblPos val="nextTo"/>
        <c:txPr>
          <a:bodyPr rot="0" vert="horz"/>
          <a:lstStyle/>
          <a:p>
            <a:pPr>
              <a:defRPr lang="en-IN" sz="800" b="1"/>
            </a:pPr>
            <a:endParaRPr lang="en-US"/>
          </a:p>
        </c:txPr>
        <c:crossAx val="64541824"/>
        <c:crosses val="autoZero"/>
        <c:auto val="1"/>
        <c:lblAlgn val="ctr"/>
        <c:lblOffset val="100"/>
      </c:catAx>
      <c:valAx>
        <c:axId val="64541824"/>
        <c:scaling>
          <c:orientation val="minMax"/>
          <c:min val="0"/>
        </c:scaling>
        <c:axPos val="l"/>
        <c:numFmt formatCode="_(* #,##0_);_(* \(#,##0\);_(* &quot;-&quot;??_);_(@_)" sourceLinked="1"/>
        <c:tickLblPos val="nextTo"/>
        <c:txPr>
          <a:bodyPr rot="0" vert="horz"/>
          <a:lstStyle/>
          <a:p>
            <a:pPr>
              <a:defRPr lang="en-IN" b="1"/>
            </a:pPr>
            <a:endParaRPr lang="en-US"/>
          </a:p>
        </c:txPr>
        <c:crossAx val="6453593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3883679138647832"/>
          <c:y val="5.4248170747145358E-2"/>
        </c:manualLayout>
      </c:layout>
      <c:txPr>
        <a:bodyPr/>
        <a:lstStyle/>
        <a:p>
          <a:pPr>
            <a:defRPr lang="en-IN" sz="900" b="1"/>
          </a:pPr>
          <a:endParaRPr lang="en-US"/>
        </a:p>
      </c:txPr>
    </c:title>
    <c:view3D>
      <c:rotX val="30"/>
      <c:perspective val="30"/>
    </c:view3D>
    <c:plotArea>
      <c:layout>
        <c:manualLayout>
          <c:layoutTarget val="inner"/>
          <c:xMode val="edge"/>
          <c:yMode val="edge"/>
          <c:x val="0.17407406555932337"/>
          <c:y val="0.26013013646606065"/>
          <c:w val="0.6500000000000089"/>
          <c:h val="0.61690140845071584"/>
        </c:manualLayout>
      </c:layout>
      <c:pie3DChart>
        <c:varyColors val="1"/>
        <c:ser>
          <c:idx val="0"/>
          <c:order val="0"/>
          <c:tx>
            <c:strRef>
              <c:f>'ANALYSIS - Balaghat'!$Z$337</c:f>
              <c:strCache>
                <c:ptCount val="1"/>
                <c:pt idx="0">
                  <c:v>MP-Balaghat-Abortions - Apr'13 to Mar'14</c:v>
                </c:pt>
              </c:strCache>
            </c:strRef>
          </c:tx>
          <c:explosion val="25"/>
          <c:dLbls>
            <c:dLbl>
              <c:idx val="0"/>
              <c:layout>
                <c:manualLayout>
                  <c:x val="-1.1678832116788251E-2"/>
                  <c:y val="-1.2861736334405146E-2"/>
                </c:manualLayout>
              </c:layout>
              <c:dLblPos val="outEnd"/>
              <c:showLegendKey val="1"/>
              <c:showVal val="1"/>
              <c:showCatName val="1"/>
              <c:separator>
</c:separator>
            </c:dLbl>
            <c:dLbl>
              <c:idx val="1"/>
              <c:layout>
                <c:manualLayout>
                  <c:x val="1.3989156464930938E-2"/>
                  <c:y val="7.1634470128532982E-2"/>
                </c:manualLayout>
              </c:layout>
              <c:dLblPos val="bestFit"/>
              <c:showLegendKey val="1"/>
              <c:showVal val="1"/>
              <c:showCatName val="1"/>
              <c:separator>
</c:separator>
            </c:dLbl>
            <c:dLbl>
              <c:idx val="2"/>
              <c:layout>
                <c:manualLayout>
                  <c:x val="-7.7858880778588812E-3"/>
                  <c:y val="-7.8598591843724801E-17"/>
                </c:manualLayout>
              </c:layout>
              <c:dLblPos val="outEnd"/>
              <c:showLegendKey val="1"/>
              <c:showVal val="1"/>
              <c:showCatName val="1"/>
              <c:separator>
</c:separator>
            </c:dLbl>
            <c:numFmt formatCode="0.00%" sourceLinked="0"/>
            <c:txPr>
              <a:bodyPr/>
              <a:lstStyle/>
              <a:p>
                <a:pPr>
                  <a:defRPr lang="en-IN" sz="800" b="1"/>
                </a:pPr>
                <a:endParaRPr lang="en-US"/>
              </a:p>
            </c:txPr>
            <c:dLblPos val="outEnd"/>
            <c:showLegendKey val="1"/>
            <c:showVal val="1"/>
            <c:showCatName val="1"/>
            <c:separator>
</c:separator>
          </c:dLbls>
          <c:cat>
            <c:strRef>
              <c:f>'ANALYSIS - Balaghat'!$AA$336:$AC$336</c:f>
              <c:strCache>
                <c:ptCount val="3"/>
                <c:pt idx="0">
                  <c:v>MTP less than 12 weeks</c:v>
                </c:pt>
                <c:pt idx="1">
                  <c:v>MTP more  than 12 weeks</c:v>
                </c:pt>
                <c:pt idx="2">
                  <c:v>Abortion (spontaneous/induced)</c:v>
                </c:pt>
              </c:strCache>
            </c:strRef>
          </c:cat>
          <c:val>
            <c:numRef>
              <c:f>'ANALYSIS - Balaghat'!$AA$337:$AC$337</c:f>
              <c:numCache>
                <c:formatCode>0%</c:formatCode>
                <c:ptCount val="3"/>
                <c:pt idx="0">
                  <c:v>0.1645962732919255</c:v>
                </c:pt>
                <c:pt idx="1">
                  <c:v>0.11335403726708075</c:v>
                </c:pt>
                <c:pt idx="2">
                  <c:v>0.7220496894409939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2335577618"/>
          <c:y val="0.27102493908691527"/>
          <c:w val="0.65000000000000935"/>
          <c:h val="0.6169014084507165"/>
        </c:manualLayout>
      </c:layout>
      <c:pie3DChart>
        <c:varyColors val="1"/>
        <c:ser>
          <c:idx val="0"/>
          <c:order val="0"/>
          <c:tx>
            <c:strRef>
              <c:f>'ANALYSIS - Balaghat'!$Z$365</c:f>
              <c:strCache>
                <c:ptCount val="1"/>
                <c:pt idx="0">
                  <c:v>MP-Balaghat- RTI  Cases -Apr'13 to Mar'14</c:v>
                </c:pt>
              </c:strCache>
            </c:strRef>
          </c:tx>
          <c:explosion val="25"/>
          <c:dLbls>
            <c:dLbl>
              <c:idx val="0"/>
              <c:layout>
                <c:manualLayout>
                  <c:x val="8.5470085470085496E-3"/>
                  <c:y val="0"/>
                </c:manualLayout>
              </c:layout>
              <c:dLblPos val="outEnd"/>
              <c:showLegendKey val="1"/>
              <c:showVal val="1"/>
              <c:showCatName val="1"/>
              <c:separator>
</c:separator>
            </c:dLbl>
            <c:dLbl>
              <c:idx val="1"/>
              <c:layout>
                <c:manualLayout>
                  <c:x val="-1.3960057877380735E-2"/>
                  <c:y val="2.7462158628020531E-3"/>
                </c:manualLayout>
              </c:layout>
              <c:dLblPos val="bestFit"/>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Balaghat'!$AA$364:$AB$364</c:f>
              <c:strCache>
                <c:ptCount val="2"/>
                <c:pt idx="0">
                  <c:v>Male</c:v>
                </c:pt>
                <c:pt idx="1">
                  <c:v>Female</c:v>
                </c:pt>
              </c:strCache>
            </c:strRef>
          </c:cat>
          <c:val>
            <c:numRef>
              <c:f>'ANALYSIS - Balaghat'!$AA$365:$AB$365</c:f>
              <c:numCache>
                <c:formatCode>0%</c:formatCode>
                <c:ptCount val="2"/>
                <c:pt idx="0">
                  <c:v>0.56691919191919193</c:v>
                </c:pt>
                <c:pt idx="1">
                  <c:v>0.43308080808080818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993059798711108"/>
          <c:y val="0.27625843969873964"/>
          <c:w val="0.65000000000000968"/>
          <c:h val="0.61690140845071684"/>
        </c:manualLayout>
      </c:layout>
      <c:pie3DChart>
        <c:varyColors val="1"/>
        <c:ser>
          <c:idx val="0"/>
          <c:order val="0"/>
          <c:tx>
            <c:strRef>
              <c:f>'ANALYSIS - Balaghat'!$Z$396</c:f>
              <c:strCache>
                <c:ptCount val="1"/>
                <c:pt idx="0">
                  <c:v>MP-Balaghat- Distribution of Family Planning Methods against Total Reported -Apr'13 to Mar'14</c:v>
                </c:pt>
              </c:strCache>
            </c:strRef>
          </c:tx>
          <c:explosion val="25"/>
          <c:dLbls>
            <c:dLbl>
              <c:idx val="0"/>
              <c:layout>
                <c:manualLayout>
                  <c:x val="1.1713030746705714E-2"/>
                  <c:y val="0"/>
                </c:manualLayout>
              </c:layout>
              <c:dLblPos val="outEnd"/>
              <c:showLegendKey val="1"/>
              <c:showVal val="1"/>
              <c:showCatName val="1"/>
              <c:separator>
</c:separator>
            </c:dLbl>
            <c:dLbl>
              <c:idx val="1"/>
              <c:layout>
                <c:manualLayout>
                  <c:x val="-1.0162207030124161E-2"/>
                  <c:y val="1.8446548878289802E-2"/>
                </c:manualLayout>
              </c:layout>
              <c:dLblPos val="bestFit"/>
              <c:showLegendKey val="1"/>
              <c:showVal val="1"/>
              <c:showCatName val="1"/>
              <c:separator>
</c:separator>
            </c:dLbl>
            <c:dLbl>
              <c:idx val="2"/>
              <c:layout>
                <c:manualLayout>
                  <c:x val="0"/>
                  <c:y val="-2.776492364645998E-2"/>
                </c:manualLayout>
              </c:layout>
              <c:dLblPos val="outEnd"/>
              <c:showLegendKey val="1"/>
              <c:showVal val="1"/>
              <c:showCatName val="1"/>
              <c:separator>
</c:separator>
            </c:dLbl>
            <c:dLbl>
              <c:idx val="3"/>
              <c:layout>
                <c:manualLayout>
                  <c:x val="7.8086871644704745E-3"/>
                  <c:y val="-2.7764923646459952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Balaghat'!$AA$395:$AD$395</c:f>
              <c:strCache>
                <c:ptCount val="4"/>
                <c:pt idx="0">
                  <c:v>Sterilisations</c:v>
                </c:pt>
                <c:pt idx="1">
                  <c:v>IUD</c:v>
                </c:pt>
                <c:pt idx="2">
                  <c:v>Condom Users</c:v>
                </c:pt>
                <c:pt idx="3">
                  <c:v>OCP Users</c:v>
                </c:pt>
              </c:strCache>
            </c:strRef>
          </c:cat>
          <c:val>
            <c:numRef>
              <c:f>'ANALYSIS - Balaghat'!$AA$396:$AD$396</c:f>
              <c:numCache>
                <c:formatCode>0%</c:formatCode>
                <c:ptCount val="4"/>
                <c:pt idx="0">
                  <c:v>0.4975464441128204</c:v>
                </c:pt>
                <c:pt idx="1">
                  <c:v>0.31017418083739906</c:v>
                </c:pt>
                <c:pt idx="2">
                  <c:v>0.10959876669244815</c:v>
                </c:pt>
                <c:pt idx="3">
                  <c:v>8.2680608357332513E-2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n-IN" sz="900"/>
          </a:pPr>
          <a:endParaRPr lang="en-US"/>
        </a:p>
      </c:txPr>
    </c:title>
    <c:view3D>
      <c:rotX val="30"/>
      <c:perspective val="30"/>
    </c:view3D>
    <c:plotArea>
      <c:layout>
        <c:manualLayout>
          <c:layoutTarget val="inner"/>
          <c:xMode val="edge"/>
          <c:yMode val="edge"/>
          <c:x val="0.1521103780946301"/>
          <c:y val="0.25105820006389412"/>
          <c:w val="0.67972695790521664"/>
          <c:h val="0.58071060561874221"/>
        </c:manualLayout>
      </c:layout>
      <c:pie3DChart>
        <c:varyColors val="1"/>
        <c:ser>
          <c:idx val="0"/>
          <c:order val="0"/>
          <c:tx>
            <c:strRef>
              <c:f>'ANALYSIS - Balaghat'!$AE$455</c:f>
              <c:strCache>
                <c:ptCount val="1"/>
                <c:pt idx="0">
                  <c:v>MP-Balaghat -  Mortality - Major Causes Group -Apr'13 to Mar'14</c:v>
                </c:pt>
              </c:strCache>
            </c:strRef>
          </c:tx>
          <c:explosion val="25"/>
          <c:dLbls>
            <c:dLbl>
              <c:idx val="0"/>
              <c:layout>
                <c:manualLayout>
                  <c:x val="-2.2168625318231615E-3"/>
                  <c:y val="-5.4106327401198966E-2"/>
                </c:manualLayout>
              </c:layout>
              <c:dLblPos val="bestFit"/>
              <c:showVal val="1"/>
              <c:showCatName val="1"/>
              <c:separator>
</c:separator>
            </c:dLbl>
            <c:dLbl>
              <c:idx val="1"/>
              <c:layout>
                <c:manualLayout>
                  <c:x val="-1.9092163029170831E-2"/>
                  <c:y val="5.0241357061870835E-2"/>
                </c:manualLayout>
              </c:layout>
              <c:dLblPos val="bestFit"/>
              <c:showVal val="1"/>
              <c:showCatName val="1"/>
              <c:separator>
</c:separator>
            </c:dLbl>
            <c:dLbl>
              <c:idx val="2"/>
              <c:layout>
                <c:manualLayout>
                  <c:x val="4.0040040040040048E-3"/>
                  <c:y val="5.7279236276849659E-2"/>
                </c:manualLayout>
              </c:layout>
              <c:dLblPos val="outEnd"/>
              <c:showVal val="1"/>
              <c:showCatName val="1"/>
              <c:separator>
</c:separator>
            </c:dLbl>
            <c:dLbl>
              <c:idx val="3"/>
              <c:layout>
                <c:manualLayout>
                  <c:x val="9.1537206497836459E-3"/>
                  <c:y val="-7.7285375127631714E-2"/>
                </c:manualLayout>
              </c:layout>
              <c:dLblPos val="bestFit"/>
              <c:showVal val="1"/>
              <c:showCatName val="1"/>
              <c:separator>
</c:separator>
            </c:dLbl>
            <c:txPr>
              <a:bodyPr/>
              <a:lstStyle/>
              <a:p>
                <a:pPr>
                  <a:defRPr lang="en-IN" b="1"/>
                </a:pPr>
                <a:endParaRPr lang="en-US"/>
              </a:p>
            </c:txPr>
            <c:dLblPos val="outEnd"/>
            <c:showVal val="1"/>
            <c:showCatName val="1"/>
            <c:separator>
</c:separator>
          </c:dLbls>
          <c:cat>
            <c:strRef>
              <c:f>'ANALYSIS - Balaghat'!$AD$456:$AD$459</c:f>
              <c:strCache>
                <c:ptCount val="4"/>
                <c:pt idx="0">
                  <c:v>Communicable Disease , Maternal &amp; Perinatal </c:v>
                </c:pt>
                <c:pt idx="1">
                  <c:v>Non communicable disease </c:v>
                </c:pt>
                <c:pt idx="2">
                  <c:v>Injuries </c:v>
                </c:pt>
                <c:pt idx="3">
                  <c:v>Others </c:v>
                </c:pt>
              </c:strCache>
            </c:strRef>
          </c:cat>
          <c:val>
            <c:numRef>
              <c:f>'ANALYSIS - Balaghat'!$AE$456:$AE$459</c:f>
              <c:numCache>
                <c:formatCode>0.0%</c:formatCode>
                <c:ptCount val="4"/>
                <c:pt idx="0">
                  <c:v>0.34687357371063454</c:v>
                </c:pt>
                <c:pt idx="1">
                  <c:v>0.17115472387037883</c:v>
                </c:pt>
                <c:pt idx="2">
                  <c:v>1.7115472387037881E-2</c:v>
                </c:pt>
                <c:pt idx="3">
                  <c:v>0.46485623003194887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6703645032536618"/>
          <c:y val="0.21511346479920099"/>
          <c:w val="0.70143005792914948"/>
          <c:h val="0.64052539892690408"/>
        </c:manualLayout>
      </c:layout>
      <c:pie3DChart>
        <c:varyColors val="1"/>
        <c:ser>
          <c:idx val="0"/>
          <c:order val="0"/>
          <c:tx>
            <c:strRef>
              <c:f>'ANALYSIS - Balaghat'!$AB$480</c:f>
              <c:strCache>
                <c:ptCount val="1"/>
                <c:pt idx="0">
                  <c:v>Infant &amp; Child Deaths against reported Infant &amp; Child deaths - MP-Balaghat-Apr'13 to Mar'14</c:v>
                </c:pt>
              </c:strCache>
            </c:strRef>
          </c:tx>
          <c:explosion val="25"/>
          <c:dLbls>
            <c:dLbl>
              <c:idx val="0"/>
              <c:layout>
                <c:manualLayout>
                  <c:x val="0"/>
                  <c:y val="-1.7699115044247819E-2"/>
                </c:manualLayout>
              </c:layout>
              <c:dLblPos val="outEnd"/>
              <c:showVal val="1"/>
              <c:showCatName val="1"/>
              <c:separator>
</c:separator>
            </c:dLbl>
            <c:dLbl>
              <c:idx val="1"/>
              <c:layout>
                <c:manualLayout>
                  <c:x val="-2.1286889211417512E-2"/>
                  <c:y val="0.10914454277286138"/>
                </c:manualLayout>
              </c:layout>
              <c:dLblPos val="outEnd"/>
              <c:showVal val="1"/>
              <c:showCatName val="1"/>
              <c:separator>
</c:separator>
            </c:dLbl>
            <c:dLbl>
              <c:idx val="2"/>
              <c:layout>
                <c:manualLayout>
                  <c:x val="-7.8895463510848148E-3"/>
                  <c:y val="1.7699115044247683E-2"/>
                </c:manualLayout>
              </c:layout>
              <c:dLblPos val="outEnd"/>
              <c:showVal val="1"/>
              <c:showCatName val="1"/>
              <c:separator>
</c:separator>
            </c:dLbl>
            <c:dLbl>
              <c:idx val="3"/>
              <c:layout>
                <c:manualLayout>
                  <c:x val="-3.9447731755424065E-3"/>
                  <c:y val="-0.12979351032448372"/>
                </c:manualLayout>
              </c:layout>
              <c:dLblPos val="outEnd"/>
              <c:showVal val="1"/>
              <c:showCatName val="1"/>
              <c:separator>
</c:separator>
            </c:dLbl>
            <c:dLbl>
              <c:idx val="4"/>
              <c:layout>
                <c:manualLayout>
                  <c:x val="2.366863905325442E-2"/>
                  <c:y val="-3.2448377581120964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Balaghat'!$AA$481:$AA$485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Balaghat'!$AB$481:$AB$485</c:f>
              <c:numCache>
                <c:formatCode>0.0%</c:formatCode>
                <c:ptCount val="5"/>
                <c:pt idx="0">
                  <c:v>0.19825708061002181</c:v>
                </c:pt>
                <c:pt idx="1">
                  <c:v>0.2766884531590415</c:v>
                </c:pt>
                <c:pt idx="2">
                  <c:v>0.18736383442265794</c:v>
                </c:pt>
                <c:pt idx="3">
                  <c:v>0.15468409586056647</c:v>
                </c:pt>
                <c:pt idx="4">
                  <c:v>0.18300653594771241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8.4196213638975601E-2"/>
          <c:y val="0.28871548163711452"/>
          <c:w val="0.72115392380686139"/>
          <c:h val="0.61864551220374286"/>
        </c:manualLayout>
      </c:layout>
      <c:pie3DChart>
        <c:varyColors val="1"/>
        <c:ser>
          <c:idx val="0"/>
          <c:order val="0"/>
          <c:tx>
            <c:strRef>
              <c:f>'ANALYSIS - Balaghat'!$AB$521</c:f>
              <c:strCache>
                <c:ptCount val="1"/>
                <c:pt idx="0">
                  <c:v>MP-Balaghat - Causes of Infant  &amp; Child Deaths against total reported infant &amp; child deaths-Apr'13 to Mar'14</c:v>
                </c:pt>
              </c:strCache>
            </c:strRef>
          </c:tx>
          <c:explosion val="25"/>
          <c:dLbls>
            <c:dLbl>
              <c:idx val="0"/>
              <c:layout>
                <c:manualLayout>
                  <c:x val="-3.1344329000295081E-2"/>
                  <c:y val="-3.5663335100568794E-2"/>
                </c:manualLayout>
              </c:layout>
              <c:dLblPos val="bestFit"/>
              <c:showCatName val="1"/>
              <c:showPercent val="1"/>
            </c:dLbl>
            <c:dLbl>
              <c:idx val="1"/>
              <c:layout>
                <c:manualLayout>
                  <c:x val="1.3521641895354798E-2"/>
                  <c:y val="-3.3729848606829392E-2"/>
                </c:manualLayout>
              </c:layout>
              <c:showCatName val="1"/>
              <c:showPercent val="1"/>
            </c:dLbl>
            <c:dLbl>
              <c:idx val="2"/>
              <c:layout>
                <c:manualLayout>
                  <c:x val="5.7555172467346906E-2"/>
                  <c:y val="-0.10383202099737533"/>
                </c:manualLayout>
              </c:layout>
              <c:dLblPos val="bestFit"/>
              <c:showCatName val="1"/>
              <c:showPercent val="1"/>
            </c:dLbl>
            <c:dLbl>
              <c:idx val="3"/>
              <c:layout>
                <c:manualLayout>
                  <c:x val="1.6560592647812521E-2"/>
                  <c:y val="-0.12069903980206963"/>
                </c:manualLayout>
              </c:layout>
              <c:dLblPos val="bestFit"/>
              <c:showCatName val="1"/>
              <c:showPercent val="1"/>
            </c:dLbl>
            <c:dLbl>
              <c:idx val="4"/>
              <c:layout>
                <c:manualLayout>
                  <c:x val="0.10523474506515093"/>
                  <c:y val="-0.15761671935646451"/>
                </c:manualLayout>
              </c:layout>
              <c:dLblPos val="bestFit"/>
              <c:showCatName val="1"/>
              <c:showPercent val="1"/>
            </c:dLbl>
            <c:dLbl>
              <c:idx val="5"/>
              <c:layout>
                <c:manualLayout>
                  <c:x val="7.3267172964326222E-2"/>
                  <c:y val="-6.9773597502307244E-2"/>
                </c:manualLayout>
              </c:layout>
              <c:dLblPos val="bestFit"/>
              <c:showCatName val="1"/>
              <c:showPercent val="1"/>
            </c:dLbl>
            <c:dLbl>
              <c:idx val="6"/>
              <c:layout>
                <c:manualLayout>
                  <c:x val="7.7246268772616436E-2"/>
                  <c:y val="8.8094723820370344E-3"/>
                </c:manualLayout>
              </c:layout>
              <c:showCatName val="1"/>
              <c:showPercent val="1"/>
            </c:dLbl>
            <c:dLbl>
              <c:idx val="7"/>
              <c:layout>
                <c:manualLayout>
                  <c:x val="-5.2848157293947727E-2"/>
                  <c:y val="0.10384458800505299"/>
                </c:manualLayout>
              </c:layout>
              <c:showCatName val="1"/>
              <c:showPercent val="1"/>
            </c:dLbl>
            <c:txPr>
              <a:bodyPr/>
              <a:lstStyle/>
              <a:p>
                <a:pPr>
                  <a:defRPr lang="en-IN" b="1"/>
                </a:pPr>
                <a:endParaRPr lang="en-US"/>
              </a:p>
            </c:txPr>
            <c:showCatName val="1"/>
            <c:showPercent val="1"/>
            <c:showLeaderLines val="1"/>
          </c:dLbls>
          <c:cat>
            <c:strRef>
              <c:f>'ANALYSIS - Balaghat'!$AA$522:$AA$529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Balaghat'!$AB$522:$AB$529</c:f>
              <c:numCache>
                <c:formatCode>0%</c:formatCode>
                <c:ptCount val="8"/>
                <c:pt idx="0">
                  <c:v>4.0760869565217385E-2</c:v>
                </c:pt>
                <c:pt idx="1">
                  <c:v>6.5217391304347824E-2</c:v>
                </c:pt>
                <c:pt idx="2">
                  <c:v>0.11141304347826088</c:v>
                </c:pt>
                <c:pt idx="3">
                  <c:v>2.7173913043478271E-2</c:v>
                </c:pt>
                <c:pt idx="4">
                  <c:v>8.1521739130434798E-3</c:v>
                </c:pt>
                <c:pt idx="5">
                  <c:v>8.1521739130434798E-3</c:v>
                </c:pt>
                <c:pt idx="6">
                  <c:v>1.0869565217391308E-2</c:v>
                </c:pt>
                <c:pt idx="7">
                  <c:v>0.72826086956521741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3483624664219032"/>
          <c:y val="0.30201556476263414"/>
          <c:w val="0.71859730143702716"/>
          <c:h val="0.61199547064098303"/>
        </c:manualLayout>
      </c:layout>
      <c:pie3DChart>
        <c:varyColors val="1"/>
        <c:ser>
          <c:idx val="0"/>
          <c:order val="0"/>
          <c:tx>
            <c:strRef>
              <c:f>'ANALYSIS - Balaghat'!$AB$545</c:f>
              <c:strCache>
                <c:ptCount val="1"/>
                <c:pt idx="0">
                  <c:v>MP-Balaghat - Known Causes of Infant  &amp; Child Deaths against total reported known causes of infant &amp; child deaths -Apr'13 to Mar'14</c:v>
                </c:pt>
              </c:strCache>
            </c:strRef>
          </c:tx>
          <c:explosion val="25"/>
          <c:dLbls>
            <c:dLbl>
              <c:idx val="0"/>
              <c:layout>
                <c:manualLayout>
                  <c:x val="8.87108319671185E-2"/>
                  <c:y val="-9.0631688495297225E-3"/>
                </c:manualLayout>
              </c:layout>
              <c:dLblPos val="bestFit"/>
              <c:showCatName val="1"/>
              <c:showPercent val="1"/>
            </c:dLbl>
            <c:dLbl>
              <c:idx val="1"/>
              <c:layout>
                <c:manualLayout>
                  <c:x val="5.1373450019627329E-2"/>
                  <c:y val="-7.6041392581538275E-2"/>
                </c:manualLayout>
              </c:layout>
              <c:showCatName val="1"/>
              <c:showPercent val="1"/>
            </c:dLbl>
            <c:dLbl>
              <c:idx val="2"/>
              <c:layout>
                <c:manualLayout>
                  <c:x val="-8.3519523402683177E-2"/>
                  <c:y val="1.9193747913680365E-2"/>
                </c:manualLayout>
              </c:layout>
              <c:dLblPos val="bestFit"/>
              <c:showCatName val="1"/>
              <c:showPercent val="1"/>
            </c:dLbl>
            <c:dLbl>
              <c:idx val="3"/>
              <c:layout>
                <c:manualLayout>
                  <c:x val="-0.10339052193255904"/>
                  <c:y val="8.9767706717458345E-3"/>
                </c:manualLayout>
              </c:layout>
              <c:dLblPos val="bestFit"/>
              <c:showCatName val="1"/>
              <c:showPercent val="1"/>
            </c:dLbl>
            <c:dLbl>
              <c:idx val="4"/>
              <c:layout>
                <c:manualLayout>
                  <c:x val="-8.752118595146284E-2"/>
                  <c:y val="-1.1316066788409554E-2"/>
                </c:manualLayout>
              </c:layout>
              <c:dLblPos val="bestFit"/>
              <c:showCatName val="1"/>
              <c:showPercent val="1"/>
            </c:dLbl>
            <c:dLbl>
              <c:idx val="5"/>
              <c:layout>
                <c:manualLayout>
                  <c:x val="-3.1575957697369948E-2"/>
                  <c:y val="-7.9748659846446898E-2"/>
                </c:manualLayout>
              </c:layout>
              <c:dLblPos val="bestFit"/>
              <c:showCatName val="1"/>
              <c:showPercent val="1"/>
            </c:dLbl>
            <c:dLbl>
              <c:idx val="6"/>
              <c:layout>
                <c:manualLayout>
                  <c:x val="6.551650618452752E-2"/>
                  <c:y val="-3.706010564140829E-2"/>
                </c:manualLayout>
              </c:layout>
              <c:showCatName val="1"/>
              <c:showPercent val="1"/>
            </c:dLbl>
            <c:txPr>
              <a:bodyPr/>
              <a:lstStyle/>
              <a:p>
                <a:pPr>
                  <a:defRPr lang="en-IN" b="1"/>
                </a:pPr>
                <a:endParaRPr lang="en-US"/>
              </a:p>
            </c:txPr>
            <c:showCatName val="1"/>
            <c:showPercent val="1"/>
            <c:showLeaderLines val="1"/>
          </c:dLbls>
          <c:cat>
            <c:strRef>
              <c:f>'ANALYSIS - Balaghat'!$AA$546:$AA$552</c:f>
              <c:strCache>
                <c:ptCount val="7"/>
                <c:pt idx="0">
                  <c:v>Sepsis</c:v>
                </c:pt>
                <c:pt idx="1">
                  <c:v>Asphyxia</c:v>
                </c:pt>
                <c:pt idx="2">
                  <c:v>LBW</c:v>
                </c:pt>
                <c:pt idx="3">
                  <c:v>Pneumonia</c:v>
                </c:pt>
                <c:pt idx="4">
                  <c:v>Diarrhoea</c:v>
                </c:pt>
                <c:pt idx="5">
                  <c:v>Fever related</c:v>
                </c:pt>
                <c:pt idx="6">
                  <c:v>Measles</c:v>
                </c:pt>
              </c:strCache>
            </c:strRef>
          </c:cat>
          <c:val>
            <c:numRef>
              <c:f>'ANALYSIS - Balaghat'!$AB$546:$AB$552</c:f>
              <c:numCache>
                <c:formatCode>0%</c:formatCode>
                <c:ptCount val="7"/>
                <c:pt idx="0">
                  <c:v>0.15000000000000002</c:v>
                </c:pt>
                <c:pt idx="1">
                  <c:v>0.24000000000000002</c:v>
                </c:pt>
                <c:pt idx="2">
                  <c:v>0.41000000000000003</c:v>
                </c:pt>
                <c:pt idx="3">
                  <c:v>0.1</c:v>
                </c:pt>
                <c:pt idx="4">
                  <c:v>3.0000000000000002E-2</c:v>
                </c:pt>
                <c:pt idx="5">
                  <c:v>3.0000000000000002E-2</c:v>
                </c:pt>
                <c:pt idx="6">
                  <c:v>4.0000000000000008E-2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783"/>
          <c:w val="0.59930686789150756"/>
          <c:h val="0.55127296587925201"/>
        </c:manualLayout>
      </c:layout>
      <c:pie3DChart>
        <c:varyColors val="1"/>
        <c:ser>
          <c:idx val="0"/>
          <c:order val="0"/>
          <c:tx>
            <c:strRef>
              <c:f>'ANALYSIS - Balaghat'!$AE$71</c:f>
              <c:strCache>
                <c:ptCount val="1"/>
                <c:pt idx="0">
                  <c:v>MP-Balaghat-  Home ( SBA &amp; Non SBA) &amp; Institutional Deliveries against Reported Deliveries - Apr'13 to Mar'14</c:v>
                </c:pt>
              </c:strCache>
            </c:strRef>
          </c:tx>
          <c:explosion val="25"/>
          <c:dLbls>
            <c:dLbl>
              <c:idx val="0"/>
              <c:layout>
                <c:manualLayout>
                  <c:x val="5.1282051282051211E-2"/>
                  <c:y val="-1.3468013468013467E-2"/>
                </c:manualLayout>
              </c:layout>
              <c:dLblPos val="outEnd"/>
              <c:showLegendKey val="1"/>
              <c:showVal val="1"/>
              <c:showCatName val="1"/>
              <c:separator>
</c:separator>
            </c:dLbl>
            <c:dLbl>
              <c:idx val="1"/>
              <c:layout>
                <c:manualLayout>
                  <c:x val="6.0723570796254012E-2"/>
                  <c:y val="6.3748597081930411E-2"/>
                </c:manualLayout>
              </c:layout>
              <c:dLblPos val="bestFit"/>
              <c:showLegendKey val="1"/>
              <c:showVal val="1"/>
              <c:showCatName val="1"/>
              <c:separator>
</c:separator>
            </c:dLbl>
            <c:dLbl>
              <c:idx val="2"/>
              <c:layout>
                <c:manualLayout>
                  <c:x val="-1.9723865877712039E-2"/>
                  <c:y val="2.2446689113355782E-2"/>
                </c:manualLayout>
              </c:layout>
              <c:dLblPos val="outEnd"/>
              <c:showLegendKey val="1"/>
              <c:showVal val="1"/>
              <c:showCatName val="1"/>
              <c:separator>
</c:separator>
            </c:dLbl>
            <c:dLbl>
              <c:idx val="3"/>
              <c:layout>
                <c:manualLayout>
                  <c:x val="-7.4950690335305811E-2"/>
                  <c:y val="-4.4893378226711573E-3"/>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Balaghat'!$AF$70:$AI$70</c:f>
              <c:strCache>
                <c:ptCount val="4"/>
                <c:pt idx="0">
                  <c:v>Home SBA</c:v>
                </c:pt>
                <c:pt idx="1">
                  <c:v>Home Non SBA</c:v>
                </c:pt>
                <c:pt idx="2">
                  <c:v>Institutional (Pub) </c:v>
                </c:pt>
                <c:pt idx="3">
                  <c:v>Institutional (Pvt) </c:v>
                </c:pt>
              </c:strCache>
            </c:strRef>
          </c:cat>
          <c:val>
            <c:numRef>
              <c:f>'ANALYSIS - Balaghat'!$AF$71:$AI$71</c:f>
              <c:numCache>
                <c:formatCode>0.0%</c:formatCode>
                <c:ptCount val="4"/>
                <c:pt idx="0">
                  <c:v>1.2530467918569125E-2</c:v>
                </c:pt>
                <c:pt idx="1">
                  <c:v>0.1213223934910227</c:v>
                </c:pt>
                <c:pt idx="2">
                  <c:v>0.86350372481032633</c:v>
                </c:pt>
                <c:pt idx="3">
                  <c:v>2.6434137800817065E-3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20514205797268042"/>
          <c:y val="0.31313443617712922"/>
          <c:w val="0.62334632258558953"/>
          <c:h val="0.58555852536781516"/>
        </c:manualLayout>
      </c:layout>
      <c:pie3DChart>
        <c:varyColors val="1"/>
        <c:ser>
          <c:idx val="0"/>
          <c:order val="0"/>
          <c:tx>
            <c:strRef>
              <c:f>'ANALYSIS - Balaghat'!$AB$638</c:f>
              <c:strCache>
                <c:ptCount val="1"/>
                <c:pt idx="0">
                  <c:v>MP-Balaghat - Known causes of deaths  6 yrs  &amp; above against total reported Known causes of deaths 6 yrs &amp; above - Apr'13 to Mar'14</c:v>
                </c:pt>
              </c:strCache>
            </c:strRef>
          </c:tx>
          <c:explosion val="25"/>
          <c:dLbls>
            <c:dLbl>
              <c:idx val="0"/>
              <c:delete val="1"/>
            </c:dLbl>
            <c:dLbl>
              <c:idx val="1"/>
              <c:layout>
                <c:manualLayout>
                  <c:x val="0.10497737417859264"/>
                  <c:y val="-0.12590960533603024"/>
                </c:manualLayout>
              </c:layout>
              <c:showVal val="1"/>
              <c:showCatName val="1"/>
              <c:separator>
</c:separator>
            </c:dLbl>
            <c:dLbl>
              <c:idx val="2"/>
              <c:layout>
                <c:manualLayout>
                  <c:x val="0.27090215912791926"/>
                  <c:y val="-8.5297984540923216E-2"/>
                </c:manualLayout>
              </c:layout>
              <c:showVal val="1"/>
              <c:showCatName val="1"/>
              <c:separator>
</c:separator>
            </c:dLbl>
            <c:dLbl>
              <c:idx val="3"/>
              <c:layout>
                <c:manualLayout>
                  <c:x val="0.15907718834415771"/>
                  <c:y val="1.8585807508006456E-2"/>
                </c:manualLayout>
              </c:layout>
              <c:showVal val="1"/>
              <c:showCatName val="1"/>
              <c:separator>
</c:separator>
            </c:dLbl>
            <c:dLbl>
              <c:idx val="4"/>
              <c:layout>
                <c:manualLayout>
                  <c:x val="7.1247772860509222E-3"/>
                  <c:y val="-6.4891039996147301E-2"/>
                </c:manualLayout>
              </c:layout>
              <c:showVal val="1"/>
              <c:showCatName val="1"/>
              <c:separator>
</c:separator>
            </c:dLbl>
            <c:dLbl>
              <c:idx val="5"/>
              <c:layout>
                <c:manualLayout>
                  <c:x val="5.3032166599613004E-2"/>
                  <c:y val="3.9347443954826755E-2"/>
                </c:manualLayout>
              </c:layout>
              <c:showVal val="1"/>
              <c:showCatName val="1"/>
              <c:separator>
</c:separator>
            </c:dLbl>
            <c:dLbl>
              <c:idx val="6"/>
              <c:layout>
                <c:manualLayout>
                  <c:x val="-9.7123896009349203E-2"/>
                  <c:y val="-1.5228153820222015E-2"/>
                </c:manualLayout>
              </c:layout>
              <c:dLblPos val="bestFit"/>
              <c:showVal val="1"/>
              <c:showCatName val="1"/>
              <c:separator>
</c:separator>
            </c:dLbl>
            <c:dLbl>
              <c:idx val="7"/>
              <c:layout>
                <c:manualLayout>
                  <c:x val="-3.6955687108454517E-2"/>
                  <c:y val="3.0667726167256616E-3"/>
                </c:manualLayout>
              </c:layout>
              <c:dLblPos val="bestFit"/>
              <c:showVal val="1"/>
              <c:showCatName val="1"/>
              <c:separator>
</c:separator>
            </c:dLbl>
            <c:dLbl>
              <c:idx val="8"/>
              <c:layout>
                <c:manualLayout>
                  <c:x val="-0.11674218824836677"/>
                  <c:y val="4.3425076452599388E-2"/>
                </c:manualLayout>
              </c:layout>
              <c:dLblPos val="bestFit"/>
              <c:showVal val="1"/>
              <c:showCatName val="1"/>
              <c:separator>
</c:separator>
            </c:dLbl>
            <c:dLbl>
              <c:idx val="9"/>
              <c:layout>
                <c:manualLayout>
                  <c:x val="-5.5342031151215609E-2"/>
                  <c:y val="-2.5947651039032963E-2"/>
                </c:manualLayout>
              </c:layout>
              <c:showVal val="1"/>
              <c:showCatName val="1"/>
              <c:separator>
</c:separator>
            </c:dLbl>
            <c:dLbl>
              <c:idx val="10"/>
              <c:layout>
                <c:manualLayout>
                  <c:x val="-5.5810717091020576E-2"/>
                  <c:y val="-8.7613234125550804E-2"/>
                </c:manualLayout>
              </c:layout>
              <c:dLblPos val="bestFit"/>
              <c:showVal val="1"/>
              <c:showCatName val="1"/>
              <c:separator>
</c:separator>
            </c:dLbl>
            <c:dLbl>
              <c:idx val="11"/>
              <c:layout>
                <c:manualLayout>
                  <c:x val="-9.2128513132938669E-2"/>
                  <c:y val="-0.15979556454525756"/>
                </c:manualLayout>
              </c:layout>
              <c:dLblPos val="bestFit"/>
              <c:showVal val="1"/>
              <c:showCatName val="1"/>
              <c:separator>
</c:separator>
            </c:dLbl>
            <c:dLbl>
              <c:idx val="12"/>
              <c:layout>
                <c:manualLayout>
                  <c:x val="7.5533689675651869E-2"/>
                  <c:y val="-0.12152688482746997"/>
                </c:manualLayout>
              </c:layout>
              <c:dLblPos val="bestFit"/>
              <c:showVal val="1"/>
              <c:showCatName val="1"/>
              <c:separator>
</c:separator>
            </c:dLbl>
            <c:txPr>
              <a:bodyPr/>
              <a:lstStyle/>
              <a:p>
                <a:pPr>
                  <a:defRPr lang="en-IN" sz="800" b="1"/>
                </a:pPr>
                <a:endParaRPr lang="en-US"/>
              </a:p>
            </c:txPr>
            <c:showVal val="1"/>
            <c:showCatName val="1"/>
            <c:separator>
</c:separator>
            <c:showLeaderLines val="1"/>
          </c:dLbls>
          <c:cat>
            <c:strRef>
              <c:f>'ANALYSIS - Balaghat'!$AA$639:$AA$651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Balaghat'!$AB$639:$AB$651</c:f>
              <c:numCache>
                <c:formatCode>0.0%</c:formatCode>
                <c:ptCount val="13"/>
                <c:pt idx="0">
                  <c:v>0</c:v>
                </c:pt>
                <c:pt idx="1">
                  <c:v>3.9761431411530811E-3</c:v>
                </c:pt>
                <c:pt idx="2">
                  <c:v>6.6269052352551363E-3</c:v>
                </c:pt>
                <c:pt idx="3">
                  <c:v>1.3253810470510274E-3</c:v>
                </c:pt>
                <c:pt idx="4">
                  <c:v>0.46918489065606367</c:v>
                </c:pt>
                <c:pt idx="5">
                  <c:v>1.3253810470510274E-3</c:v>
                </c:pt>
                <c:pt idx="6">
                  <c:v>0.17495029821073563</c:v>
                </c:pt>
                <c:pt idx="7">
                  <c:v>0.21868787276341947</c:v>
                </c:pt>
                <c:pt idx="8">
                  <c:v>2.3856858846918485E-2</c:v>
                </c:pt>
                <c:pt idx="9">
                  <c:v>1.9880715705765415E-2</c:v>
                </c:pt>
                <c:pt idx="10">
                  <c:v>5.964214711729623E-3</c:v>
                </c:pt>
                <c:pt idx="11">
                  <c:v>2.3856858846918485E-2</c:v>
                </c:pt>
                <c:pt idx="12">
                  <c:v>5.036447978793903E-2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3029663744862086"/>
          <c:y val="0.29442686920772088"/>
          <c:w val="0.59819922364566558"/>
          <c:h val="0.52901493508001751"/>
        </c:manualLayout>
      </c:layout>
      <c:pie3DChart>
        <c:varyColors val="1"/>
        <c:ser>
          <c:idx val="0"/>
          <c:order val="0"/>
          <c:tx>
            <c:strRef>
              <c:f>'ANALYSIS - Balaghat'!$AB$668</c:f>
              <c:strCache>
                <c:ptCount val="1"/>
                <c:pt idx="0">
                  <c:v>MP-Balaghat - Cause of deaths  6 yrs  &amp; above against total reported deaths 6 yrs &amp; above - Apr'13 to Mar'14</c:v>
                </c:pt>
              </c:strCache>
            </c:strRef>
          </c:tx>
          <c:dLbls>
            <c:dLbl>
              <c:idx val="0"/>
              <c:delete val="1"/>
            </c:dLbl>
            <c:dLbl>
              <c:idx val="1"/>
              <c:layout>
                <c:manualLayout>
                  <c:x val="-0.10090168337085587"/>
                  <c:y val="-4.8419622325970323E-2"/>
                </c:manualLayout>
              </c:layout>
              <c:dLblPos val="bestFit"/>
              <c:showVal val="1"/>
              <c:showCatName val="1"/>
              <c:separator>
</c:separator>
            </c:dLbl>
            <c:dLbl>
              <c:idx val="2"/>
              <c:layout>
                <c:manualLayout>
                  <c:x val="-7.9025100091806386E-3"/>
                  <c:y val="-0.10810977167677051"/>
                </c:manualLayout>
              </c:layout>
              <c:dLblPos val="bestFit"/>
              <c:showVal val="1"/>
              <c:showCatName val="1"/>
              <c:separator>
</c:separator>
            </c:dLbl>
            <c:dLbl>
              <c:idx val="3"/>
              <c:layout>
                <c:manualLayout>
                  <c:x val="0.22882506885478213"/>
                  <c:y val="-0.10151696745871369"/>
                </c:manualLayout>
              </c:layout>
              <c:dLblPos val="bestFit"/>
              <c:showVal val="1"/>
              <c:showCatName val="1"/>
              <c:separator>
</c:separator>
            </c:dLbl>
            <c:dLbl>
              <c:idx val="4"/>
              <c:layout>
                <c:manualLayout>
                  <c:x val="0.1359630336483702"/>
                  <c:y val="-0.13166957006480381"/>
                </c:manualLayout>
              </c:layout>
              <c:dLblPos val="bestFit"/>
              <c:showVal val="1"/>
              <c:showCatName val="1"/>
              <c:separator>
</c:separator>
            </c:dLbl>
            <c:dLbl>
              <c:idx val="5"/>
              <c:layout>
                <c:manualLayout>
                  <c:x val="0.11551931552822951"/>
                  <c:y val="-0.15727684481917639"/>
                </c:manualLayout>
              </c:layout>
              <c:dLblPos val="bestFit"/>
              <c:showVal val="1"/>
              <c:showCatName val="1"/>
              <c:separator>
</c:separator>
            </c:dLbl>
            <c:dLbl>
              <c:idx val="6"/>
              <c:layout>
                <c:manualLayout>
                  <c:x val="0.10275243896399744"/>
                  <c:y val="-0.1725491835644439"/>
                </c:manualLayout>
              </c:layout>
              <c:dLblPos val="bestFit"/>
              <c:showVal val="1"/>
              <c:showCatName val="1"/>
              <c:separator>
</c:separator>
            </c:dLbl>
            <c:dLbl>
              <c:idx val="7"/>
              <c:layout>
                <c:manualLayout>
                  <c:x val="0.15306263785241656"/>
                  <c:y val="-7.2953568856990239E-2"/>
                </c:manualLayout>
              </c:layout>
              <c:dLblPos val="bestFit"/>
              <c:showVal val="1"/>
              <c:showCatName val="1"/>
              <c:separator>
</c:separator>
            </c:dLbl>
            <c:dLbl>
              <c:idx val="8"/>
              <c:layout>
                <c:manualLayout>
                  <c:x val="0.2026537756800719"/>
                  <c:y val="-3.7264069867372671E-2"/>
                </c:manualLayout>
              </c:layout>
              <c:dLblPos val="bestFit"/>
              <c:showVal val="1"/>
              <c:showCatName val="1"/>
              <c:separator>
</c:separator>
            </c:dLbl>
            <c:dLbl>
              <c:idx val="9"/>
              <c:layout>
                <c:manualLayout>
                  <c:x val="0.15229710219459147"/>
                  <c:y val="1.2417717696792325E-2"/>
                </c:manualLayout>
              </c:layout>
              <c:dLblPos val="bestFit"/>
              <c:showVal val="1"/>
              <c:showCatName val="1"/>
              <c:separator>
</c:separator>
            </c:dLbl>
            <c:dLbl>
              <c:idx val="10"/>
              <c:layout>
                <c:manualLayout>
                  <c:x val="0.100960500401891"/>
                  <c:y val="0.10465635379648353"/>
                </c:manualLayout>
              </c:layout>
              <c:dLblPos val="bestFit"/>
              <c:showVal val="1"/>
              <c:showCatName val="1"/>
              <c:separator>
</c:separator>
            </c:dLbl>
            <c:dLbl>
              <c:idx val="11"/>
              <c:layout>
                <c:manualLayout>
                  <c:x val="-8.0238315638701915E-2"/>
                  <c:y val="0.10392748472812581"/>
                </c:manualLayout>
              </c:layout>
              <c:dLblPos val="bestFit"/>
              <c:showVal val="1"/>
              <c:showCatName val="1"/>
              <c:separator>
</c:separator>
            </c:dLbl>
            <c:dLbl>
              <c:idx val="12"/>
              <c:layout>
                <c:manualLayout>
                  <c:x val="-0.25473747566750093"/>
                  <c:y val="7.836201890692869E-2"/>
                </c:manualLayout>
              </c:layout>
              <c:dLblPos val="bestFit"/>
              <c:showVal val="1"/>
              <c:showCatName val="1"/>
              <c:separator>
</c:separator>
            </c:dLbl>
            <c:dLbl>
              <c:idx val="13"/>
              <c:layout>
                <c:manualLayout>
                  <c:x val="-3.9404363278972969E-4"/>
                  <c:y val="-0.23479409100411125"/>
                </c:manualLayout>
              </c:layout>
              <c:dLblPos val="bestFit"/>
              <c:showVal val="1"/>
              <c:showCatName val="1"/>
              <c:separator>
</c:separator>
            </c:dLbl>
            <c:numFmt formatCode="0.0%" sourceLinked="0"/>
            <c:txPr>
              <a:bodyPr/>
              <a:lstStyle/>
              <a:p>
                <a:pPr>
                  <a:defRPr lang="en-IN" sz="800" b="1"/>
                </a:pPr>
                <a:endParaRPr lang="en-US"/>
              </a:p>
            </c:txPr>
            <c:dLblPos val="bestFit"/>
            <c:showVal val="1"/>
            <c:showCatName val="1"/>
            <c:separator>
</c:separator>
            <c:showLeaderLines val="1"/>
          </c:dLbls>
          <c:cat>
            <c:strRef>
              <c:f>'ANALYSIS - Balaghat'!$AA$669:$AA$682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Balaghat'!$AB$669:$AB$682</c:f>
              <c:numCache>
                <c:formatCode>0.0%</c:formatCode>
                <c:ptCount val="14"/>
                <c:pt idx="0">
                  <c:v>0</c:v>
                </c:pt>
                <c:pt idx="1">
                  <c:v>1.8633540372670807E-3</c:v>
                </c:pt>
                <c:pt idx="2">
                  <c:v>3.1055900621118019E-3</c:v>
                </c:pt>
                <c:pt idx="3">
                  <c:v>6.2111801242236049E-4</c:v>
                </c:pt>
                <c:pt idx="4">
                  <c:v>0.21987577639751552</c:v>
                </c:pt>
                <c:pt idx="5">
                  <c:v>6.2111801242236049E-4</c:v>
                </c:pt>
                <c:pt idx="6">
                  <c:v>8.1987577639751535E-2</c:v>
                </c:pt>
                <c:pt idx="7">
                  <c:v>0.10248447204968947</c:v>
                </c:pt>
                <c:pt idx="8">
                  <c:v>1.1180124223602489E-2</c:v>
                </c:pt>
                <c:pt idx="9">
                  <c:v>9.316770186335404E-3</c:v>
                </c:pt>
                <c:pt idx="10">
                  <c:v>2.7950310559006221E-3</c:v>
                </c:pt>
                <c:pt idx="11">
                  <c:v>1.1180124223602489E-2</c:v>
                </c:pt>
                <c:pt idx="12">
                  <c:v>2.3602484472049687E-2</c:v>
                </c:pt>
                <c:pt idx="13">
                  <c:v>0.53136645962732909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900" b="1"/>
            </a:pPr>
            <a:r>
              <a:t>MP-Balaghat- C-Section, Complicated &amp; Normal  Deliveries  against  Reported Institutional Deliveries                ( Pvt. &amp; Public) Apr'13 to Mar'14</a:t>
            </a:r>
          </a:p>
        </c:rich>
      </c:tx>
    </c:title>
    <c:view3D>
      <c:rotX val="30"/>
      <c:perspective val="30"/>
    </c:view3D>
    <c:plotArea>
      <c:layout>
        <c:manualLayout>
          <c:layoutTarget val="inner"/>
          <c:xMode val="edge"/>
          <c:yMode val="edge"/>
          <c:x val="0.17407407407407408"/>
          <c:y val="0.29014084507042281"/>
          <c:w val="0.65000000000000835"/>
          <c:h val="0.61690140845071506"/>
        </c:manualLayout>
      </c:layout>
      <c:pie3DChart>
        <c:varyColors val="1"/>
        <c:ser>
          <c:idx val="0"/>
          <c:order val="0"/>
          <c:tx>
            <c:strRef>
              <c:f>'ANALYSIS - Balaghat'!$AI$100</c:f>
              <c:strCache>
                <c:ptCount val="1"/>
                <c:pt idx="0">
                  <c:v>MP-Balaghat- C-Section, Complicated &amp; Normal  Deliveries  against  Reported Institutional Deliveries ( Pvt. &amp; Public) Apr'13 to Mar'14</c:v>
                </c:pt>
              </c:strCache>
            </c:strRef>
          </c:tx>
          <c:explosion val="25"/>
          <c:dLbls>
            <c:dLbl>
              <c:idx val="0"/>
              <c:layout>
                <c:manualLayout>
                  <c:x val="-1.9870839542970695E-3"/>
                  <c:y val="-2.2075055187637978E-2"/>
                </c:manualLayout>
              </c:layout>
              <c:dLblPos val="outEnd"/>
              <c:showLegendKey val="1"/>
              <c:showVal val="1"/>
              <c:showCatName val="1"/>
              <c:separator>
</c:separator>
            </c:dLbl>
            <c:dLbl>
              <c:idx val="1"/>
              <c:layout>
                <c:manualLayout>
                  <c:x val="3.1655342635076737E-2"/>
                  <c:y val="9.7706280092471898E-2"/>
                </c:manualLayout>
              </c:layout>
              <c:dLblPos val="bestFit"/>
              <c:showLegendKey val="1"/>
              <c:showVal val="1"/>
              <c:showCatName val="1"/>
              <c:separator>
</c:separator>
            </c:dLbl>
            <c:dLbl>
              <c:idx val="2"/>
              <c:layout>
                <c:manualLayout>
                  <c:x val="-1.192250372578242E-2"/>
                  <c:y val="4.4150110375275929E-3"/>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Balaghat'!$AJ$99:$AL$99</c:f>
              <c:strCache>
                <c:ptCount val="3"/>
                <c:pt idx="0">
                  <c:v>C- section %</c:v>
                </c:pt>
                <c:pt idx="1">
                  <c:v>Complicated Pregnancies  attended %</c:v>
                </c:pt>
                <c:pt idx="2">
                  <c:v>Normal deliveries %</c:v>
                </c:pt>
              </c:strCache>
            </c:strRef>
          </c:cat>
          <c:val>
            <c:numRef>
              <c:f>'ANALYSIS - Balaghat'!$AJ$100:$AL$100</c:f>
              <c:numCache>
                <c:formatCode>0.0%</c:formatCode>
                <c:ptCount val="3"/>
                <c:pt idx="0">
                  <c:v>0.18969480776852954</c:v>
                </c:pt>
                <c:pt idx="1">
                  <c:v>6.753864447086802E-2</c:v>
                </c:pt>
                <c:pt idx="2">
                  <c:v>0.74276654776060247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0868"/>
          <c:h val="0.6169014084507155"/>
        </c:manualLayout>
      </c:layout>
      <c:pie3DChart>
        <c:varyColors val="1"/>
        <c:ser>
          <c:idx val="0"/>
          <c:order val="0"/>
          <c:tx>
            <c:strRef>
              <c:f>'ANALYSIS - Balaghat'!$AI$105</c:f>
              <c:strCache>
                <c:ptCount val="1"/>
                <c:pt idx="0">
                  <c:v>MP-Balaghat- Stay duration as percentage of Reported Institutional Deliveries - Apr'13 to Mar'14</c:v>
                </c:pt>
              </c:strCache>
            </c:strRef>
          </c:tx>
          <c:explosion val="25"/>
          <c:dLbls>
            <c:dLbl>
              <c:idx val="0"/>
              <c:layout>
                <c:manualLayout>
                  <c:x val="-1.1627906976744184E-2"/>
                  <c:y val="-7.9254079254079263E-2"/>
                </c:manualLayout>
              </c:layout>
              <c:dLblPos val="outEnd"/>
              <c:showLegendKey val="1"/>
              <c:showVal val="1"/>
              <c:showCatName val="1"/>
              <c:separator>
</c:separator>
            </c:dLbl>
            <c:dLbl>
              <c:idx val="1"/>
              <c:layout>
                <c:manualLayout>
                  <c:x val="-3.4456448757859648E-4"/>
                  <c:y val="0.10205164913826323"/>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Balaghat'!$AJ$104:$AK$104</c:f>
              <c:strCache>
                <c:ptCount val="2"/>
                <c:pt idx="0">
                  <c:v>Stay for less than 48 hrs after delivery</c:v>
                </c:pt>
                <c:pt idx="1">
                  <c:v>Stay for more than 48 hrs after delivery</c:v>
                </c:pt>
              </c:strCache>
            </c:strRef>
          </c:cat>
          <c:val>
            <c:numRef>
              <c:f>'ANALYSIS - Balaghat'!$AJ$105:$AK$105</c:f>
              <c:numCache>
                <c:formatCode>0%</c:formatCode>
                <c:ptCount val="2"/>
                <c:pt idx="0">
                  <c:v>0.43452239397542619</c:v>
                </c:pt>
                <c:pt idx="1">
                  <c:v>0.56547760602457409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Balaghat'!$AA$155</c:f>
              <c:strCache>
                <c:ptCount val="1"/>
                <c:pt idx="0">
                  <c:v>MP-Balaghat -JSY  Paid to Mothers  as % of reported deliveries - Apr'13 to Mar'14</c:v>
                </c:pt>
              </c:strCache>
            </c:strRef>
          </c:tx>
          <c:dLbls>
            <c:txPr>
              <a:bodyPr/>
              <a:lstStyle/>
              <a:p>
                <a:pPr>
                  <a:defRPr lang="en-IN" sz="800" b="1"/>
                </a:pPr>
                <a:endParaRPr lang="en-US"/>
              </a:p>
            </c:txPr>
            <c:showVal val="1"/>
          </c:dLbls>
          <c:cat>
            <c:strRef>
              <c:f>'ANALYSIS - Balaghat'!$AB$154:$AD$154</c:f>
              <c:strCache>
                <c:ptCount val="3"/>
                <c:pt idx="0">
                  <c:v>Home </c:v>
                </c:pt>
                <c:pt idx="1">
                  <c:v>Institutional (Public)</c:v>
                </c:pt>
                <c:pt idx="2">
                  <c:v>Institutional (Pvt)</c:v>
                </c:pt>
              </c:strCache>
            </c:strRef>
          </c:cat>
          <c:val>
            <c:numRef>
              <c:f>'ANALYSIS - Balaghat'!$AB$155:$AD$155</c:f>
              <c:numCache>
                <c:formatCode>0%</c:formatCode>
                <c:ptCount val="3"/>
                <c:pt idx="0">
                  <c:v>8.0533470120543738E-2</c:v>
                </c:pt>
                <c:pt idx="1">
                  <c:v>0.87186419115016101</c:v>
                </c:pt>
                <c:pt idx="2">
                  <c:v>0</c:v>
                </c:pt>
              </c:numCache>
            </c:numRef>
          </c:val>
        </c:ser>
        <c:axId val="62364288"/>
        <c:axId val="115370240"/>
      </c:barChart>
      <c:catAx>
        <c:axId val="62364288"/>
        <c:scaling>
          <c:orientation val="minMax"/>
        </c:scaling>
        <c:axPos val="b"/>
        <c:numFmt formatCode="General" sourceLinked="1"/>
        <c:tickLblPos val="nextTo"/>
        <c:txPr>
          <a:bodyPr rot="0" vert="horz"/>
          <a:lstStyle/>
          <a:p>
            <a:pPr>
              <a:defRPr lang="en-IN" sz="800" b="1"/>
            </a:pPr>
            <a:endParaRPr lang="en-US"/>
          </a:p>
        </c:txPr>
        <c:crossAx val="115370240"/>
        <c:crosses val="autoZero"/>
        <c:auto val="1"/>
        <c:lblAlgn val="ctr"/>
        <c:lblOffset val="100"/>
      </c:catAx>
      <c:valAx>
        <c:axId val="115370240"/>
        <c:scaling>
          <c:orientation val="minMax"/>
        </c:scaling>
        <c:axPos val="l"/>
        <c:numFmt formatCode="0%" sourceLinked="1"/>
        <c:tickLblPos val="nextTo"/>
        <c:txPr>
          <a:bodyPr rot="0" vert="horz"/>
          <a:lstStyle/>
          <a:p>
            <a:pPr>
              <a:defRPr lang="en-IN" b="1"/>
            </a:pPr>
            <a:endParaRPr lang="en-US"/>
          </a:p>
        </c:txPr>
        <c:crossAx val="6236428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Balaghat'!$AD$174</c:f>
              <c:strCache>
                <c:ptCount val="1"/>
                <c:pt idx="0">
                  <c:v>MP-Balaghat-ANC Services - Apr'13 to Mar'14</c:v>
                </c:pt>
              </c:strCache>
            </c:strRef>
          </c:tx>
          <c:dLbls>
            <c:numFmt formatCode="#,##0" sourceLinked="0"/>
            <c:txPr>
              <a:bodyPr/>
              <a:lstStyle/>
              <a:p>
                <a:pPr>
                  <a:defRPr lang="en-IN" b="1"/>
                </a:pPr>
                <a:endParaRPr lang="en-US"/>
              </a:p>
            </c:txPr>
            <c:showVal val="1"/>
          </c:dLbls>
          <c:cat>
            <c:strRef>
              <c:f>'ANALYSIS - Balaghat'!$AC$175:$AC$182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Balaghat'!$AD$175:$AD$182</c:f>
              <c:numCache>
                <c:formatCode>_(* #,##0_);_(* \(#,##0\);_(* "-"??_);_(@_)</c:formatCode>
                <c:ptCount val="8"/>
                <c:pt idx="0">
                  <c:v>43267.509440477079</c:v>
                </c:pt>
                <c:pt idx="1">
                  <c:v>31710</c:v>
                </c:pt>
                <c:pt idx="2">
                  <c:v>20826</c:v>
                </c:pt>
                <c:pt idx="3">
                  <c:v>30239</c:v>
                </c:pt>
                <c:pt idx="4">
                  <c:v>30165</c:v>
                </c:pt>
                <c:pt idx="5">
                  <c:v>26945</c:v>
                </c:pt>
                <c:pt idx="6">
                  <c:v>29413</c:v>
                </c:pt>
                <c:pt idx="7">
                  <c:v>31374</c:v>
                </c:pt>
              </c:numCache>
            </c:numRef>
          </c:val>
        </c:ser>
        <c:axId val="116497024"/>
        <c:axId val="117148288"/>
      </c:barChart>
      <c:catAx>
        <c:axId val="116497024"/>
        <c:scaling>
          <c:orientation val="minMax"/>
        </c:scaling>
        <c:axPos val="b"/>
        <c:numFmt formatCode="General" sourceLinked="1"/>
        <c:tickLblPos val="nextTo"/>
        <c:txPr>
          <a:bodyPr rot="0" vert="horz"/>
          <a:lstStyle/>
          <a:p>
            <a:pPr>
              <a:defRPr lang="en-IN" b="1"/>
            </a:pPr>
            <a:endParaRPr lang="en-US"/>
          </a:p>
        </c:txPr>
        <c:crossAx val="117148288"/>
        <c:crosses val="autoZero"/>
        <c:auto val="1"/>
        <c:lblAlgn val="ctr"/>
        <c:lblOffset val="100"/>
      </c:catAx>
      <c:valAx>
        <c:axId val="117148288"/>
        <c:scaling>
          <c:orientation val="minMax"/>
        </c:scaling>
        <c:axPos val="l"/>
        <c:numFmt formatCode="_(* #,##0_);_(* \(#,##0\);_(* &quot;-&quot;??_);_(@_)" sourceLinked="1"/>
        <c:tickLblPos val="nextTo"/>
        <c:txPr>
          <a:bodyPr rot="0" vert="horz"/>
          <a:lstStyle/>
          <a:p>
            <a:pPr>
              <a:defRPr lang="en-IN" b="1"/>
            </a:pPr>
            <a:endParaRPr lang="en-US"/>
          </a:p>
        </c:txPr>
        <c:crossAx val="1164970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Balaghat'!$AA$222</c:f>
              <c:strCache>
                <c:ptCount val="1"/>
                <c:pt idx="0">
                  <c:v>MP-Balaghat- Management of Complications (Reflecting Quality of ANC )against Reported ANC Registration- Apr'13 to Mar'14</c:v>
                </c:pt>
              </c:strCache>
            </c:strRef>
          </c:tx>
          <c:dLbls>
            <c:txPr>
              <a:bodyPr/>
              <a:lstStyle/>
              <a:p>
                <a:pPr>
                  <a:defRPr lang="en-IN" sz="800"/>
                </a:pPr>
                <a:endParaRPr lang="en-US"/>
              </a:p>
            </c:txPr>
            <c:showVal val="1"/>
          </c:dLbls>
          <c:cat>
            <c:strRef>
              <c:f>'ANALYSIS - Balaghat'!$Z$223:$Z$226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Balaghat'!$AA$223:$AA$226</c:f>
              <c:numCache>
                <c:formatCode>0.0%</c:formatCode>
                <c:ptCount val="4"/>
                <c:pt idx="0">
                  <c:v>4.2951750236518461E-2</c:v>
                </c:pt>
                <c:pt idx="1">
                  <c:v>9.4607379375591337E-5</c:v>
                </c:pt>
                <c:pt idx="2">
                  <c:v>0.44468621885840431</c:v>
                </c:pt>
                <c:pt idx="3">
                  <c:v>1.3245033112582781E-2</c:v>
                </c:pt>
              </c:numCache>
            </c:numRef>
          </c:val>
        </c:ser>
        <c:axId val="117641216"/>
        <c:axId val="117701248"/>
      </c:barChart>
      <c:catAx>
        <c:axId val="117641216"/>
        <c:scaling>
          <c:orientation val="minMax"/>
        </c:scaling>
        <c:axPos val="b"/>
        <c:numFmt formatCode="General" sourceLinked="1"/>
        <c:tickLblPos val="nextTo"/>
        <c:txPr>
          <a:bodyPr rot="0" vert="horz"/>
          <a:lstStyle/>
          <a:p>
            <a:pPr>
              <a:defRPr lang="en-IN" sz="800"/>
            </a:pPr>
            <a:endParaRPr lang="en-US"/>
          </a:p>
        </c:txPr>
        <c:crossAx val="117701248"/>
        <c:crosses val="autoZero"/>
        <c:auto val="1"/>
        <c:lblAlgn val="ctr"/>
        <c:lblOffset val="100"/>
      </c:catAx>
      <c:valAx>
        <c:axId val="117701248"/>
        <c:scaling>
          <c:orientation val="minMax"/>
        </c:scaling>
        <c:axPos val="l"/>
        <c:numFmt formatCode="0.0%" sourceLinked="1"/>
        <c:tickLblPos val="nextTo"/>
        <c:txPr>
          <a:bodyPr rot="0" vert="horz"/>
          <a:lstStyle/>
          <a:p>
            <a:pPr>
              <a:defRPr lang="en-IN"/>
            </a:pPr>
            <a:endParaRPr lang="en-US"/>
          </a:p>
        </c:txPr>
        <c:crossAx val="11764121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manualLayout>
          <c:layoutTarget val="inner"/>
          <c:xMode val="edge"/>
          <c:yMode val="edge"/>
          <c:x val="9.6670893666381597E-2"/>
          <c:y val="0.21719263815427514"/>
          <c:w val="0.84225977370806182"/>
          <c:h val="0.67143607049119736"/>
        </c:manualLayout>
      </c:layout>
      <c:barChart>
        <c:barDir val="col"/>
        <c:grouping val="clustered"/>
        <c:ser>
          <c:idx val="0"/>
          <c:order val="0"/>
          <c:tx>
            <c:strRef>
              <c:f>'ANALYSIS - Balaghat'!$Z$230</c:f>
              <c:strCache>
                <c:ptCount val="1"/>
                <c:pt idx="0">
                  <c:v>MP-Balaghat- Post Natal Check up against Reported deliveries -Apr'13 to Mar'14</c:v>
                </c:pt>
              </c:strCache>
            </c:strRef>
          </c:tx>
          <c:dLbls>
            <c:dLbl>
              <c:idx val="1"/>
              <c:layout>
                <c:manualLayout>
                  <c:x val="-1.2361988524086877E-2"/>
                  <c:y val="-4.1223144979218085E-2"/>
                </c:manualLayout>
              </c:layout>
              <c:dLblPos val="outEnd"/>
              <c:showVal val="1"/>
            </c:dLbl>
            <c:txPr>
              <a:bodyPr/>
              <a:lstStyle/>
              <a:p>
                <a:pPr>
                  <a:defRPr lang="en-IN" sz="800" b="1"/>
                </a:pPr>
                <a:endParaRPr lang="en-US"/>
              </a:p>
            </c:txPr>
            <c:dLblPos val="outEnd"/>
            <c:showVal val="1"/>
          </c:dLbls>
          <c:cat>
            <c:strRef>
              <c:f>'ANALYSIS - Balaghat'!$AA$229:$AB$229</c:f>
              <c:strCache>
                <c:ptCount val="2"/>
                <c:pt idx="0">
                  <c:v>PNC within 48 hours after deliveries</c:v>
                </c:pt>
                <c:pt idx="1">
                  <c:v>PNC between 48 hours and 14 days of Deliveries</c:v>
                </c:pt>
              </c:strCache>
            </c:strRef>
          </c:cat>
          <c:val>
            <c:numRef>
              <c:f>'ANALYSIS - Balaghat'!$AA$230:$AB$230</c:f>
              <c:numCache>
                <c:formatCode>0%</c:formatCode>
                <c:ptCount val="2"/>
                <c:pt idx="0">
                  <c:v>0.92323801023035468</c:v>
                </c:pt>
                <c:pt idx="1">
                  <c:v>0.66095643516770242</c:v>
                </c:pt>
              </c:numCache>
            </c:numRef>
          </c:val>
        </c:ser>
        <c:gapWidth val="100"/>
        <c:axId val="121620352"/>
        <c:axId val="121933184"/>
      </c:barChart>
      <c:catAx>
        <c:axId val="121620352"/>
        <c:scaling>
          <c:orientation val="minMax"/>
        </c:scaling>
        <c:axPos val="b"/>
        <c:numFmt formatCode="General" sourceLinked="1"/>
        <c:tickLblPos val="nextTo"/>
        <c:txPr>
          <a:bodyPr rot="0" vert="horz"/>
          <a:lstStyle/>
          <a:p>
            <a:pPr>
              <a:defRPr lang="en-IN" sz="800" b="1"/>
            </a:pPr>
            <a:endParaRPr lang="en-US"/>
          </a:p>
        </c:txPr>
        <c:crossAx val="121933184"/>
        <c:crosses val="autoZero"/>
        <c:auto val="1"/>
        <c:lblAlgn val="ctr"/>
        <c:lblOffset val="100"/>
      </c:catAx>
      <c:valAx>
        <c:axId val="121933184"/>
        <c:scaling>
          <c:orientation val="minMax"/>
          <c:min val="0"/>
        </c:scaling>
        <c:axPos val="l"/>
        <c:numFmt formatCode="0%" sourceLinked="1"/>
        <c:tickLblPos val="nextTo"/>
        <c:txPr>
          <a:bodyPr rot="0" vert="horz"/>
          <a:lstStyle/>
          <a:p>
            <a:pPr>
              <a:defRPr lang="en-IN" b="1"/>
            </a:pPr>
            <a:endParaRPr lang="en-US"/>
          </a:p>
        </c:txPr>
        <c:crossAx val="121620352"/>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Balaghat'!$AA$242</c:f>
              <c:strCache>
                <c:ptCount val="1"/>
                <c:pt idx="0">
                  <c:v>MP-Balaghat-Births - Apr'13 to Mar'14</c:v>
                </c:pt>
              </c:strCache>
            </c:strRef>
          </c:tx>
          <c:dLbls>
            <c:txPr>
              <a:bodyPr/>
              <a:lstStyle/>
              <a:p>
                <a:pPr>
                  <a:defRPr lang="en-IN" b="1"/>
                </a:pPr>
                <a:endParaRPr lang="en-US"/>
              </a:p>
            </c:txPr>
            <c:showVal val="1"/>
          </c:dLbls>
          <c:cat>
            <c:strRef>
              <c:f>'ANALYSIS - Balaghat'!$Z$243:$Z$247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Balaghat'!$AA$243:$AA$247</c:f>
              <c:numCache>
                <c:formatCode>_(* #,##0_);_(* \(#,##0\);_(* "-"??_);_(@_)</c:formatCode>
                <c:ptCount val="5"/>
                <c:pt idx="0">
                  <c:v>39334.0994913428</c:v>
                </c:pt>
                <c:pt idx="1">
                  <c:v>30001</c:v>
                </c:pt>
                <c:pt idx="2">
                  <c:v>29111</c:v>
                </c:pt>
                <c:pt idx="3">
                  <c:v>3287</c:v>
                </c:pt>
                <c:pt idx="4">
                  <c:v>26535</c:v>
                </c:pt>
              </c:numCache>
            </c:numRef>
          </c:val>
        </c:ser>
        <c:axId val="64495616"/>
        <c:axId val="64497152"/>
      </c:barChart>
      <c:catAx>
        <c:axId val="64495616"/>
        <c:scaling>
          <c:orientation val="minMax"/>
        </c:scaling>
        <c:axPos val="b"/>
        <c:numFmt formatCode="General" sourceLinked="1"/>
        <c:tickLblPos val="nextTo"/>
        <c:txPr>
          <a:bodyPr rot="0" vert="horz"/>
          <a:lstStyle/>
          <a:p>
            <a:pPr>
              <a:defRPr lang="en-IN" b="1"/>
            </a:pPr>
            <a:endParaRPr lang="en-US"/>
          </a:p>
        </c:txPr>
        <c:crossAx val="64497152"/>
        <c:crosses val="autoZero"/>
        <c:auto val="1"/>
        <c:lblAlgn val="ctr"/>
        <c:lblOffset val="100"/>
      </c:catAx>
      <c:valAx>
        <c:axId val="64497152"/>
        <c:scaling>
          <c:orientation val="minMax"/>
        </c:scaling>
        <c:axPos val="l"/>
        <c:numFmt formatCode="_(* #,##0_);_(* \(#,##0\);_(* &quot;-&quot;??_);_(@_)" sourceLinked="1"/>
        <c:tickLblPos val="nextTo"/>
        <c:txPr>
          <a:bodyPr rot="0" vert="horz"/>
          <a:lstStyle/>
          <a:p>
            <a:pPr>
              <a:defRPr lang="en-IN" b="1"/>
            </a:pPr>
            <a:endParaRPr lang="en-US"/>
          </a:p>
        </c:txPr>
        <c:crossAx val="6449561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188</TotalTime>
  <Pages>23</Pages>
  <Words>2211</Words>
  <Characters>12608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124</cp:revision>
  <dcterms:created xsi:type="dcterms:W3CDTF">2014-06-12T10:38:00Z</dcterms:created>
  <dcterms:modified xsi:type="dcterms:W3CDTF">2014-07-01T15:15:00Z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