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drawings/drawing9.xml" ContentType="application/vnd.openxmlformats-officedocument.drawingml.chartshapes+xml"/>
  <Override PartName="/word/charts/chart11.xml" ContentType="application/vnd.openxmlformats-officedocument.drawingml.chart+xml"/>
  <Override PartName="/word/drawings/drawing10.xml" ContentType="application/vnd.openxmlformats-officedocument.drawingml.chartshapes+xml"/>
  <Override PartName="/word/charts/chart12.xml" ContentType="application/vnd.openxmlformats-officedocument.drawingml.chart+xml"/>
  <Override PartName="/word/drawings/drawing11.xml" ContentType="application/vnd.openxmlformats-officedocument.drawingml.chartshapes+xml"/>
  <Override PartName="/word/charts/chart13.xml" ContentType="application/vnd.openxmlformats-officedocument.drawingml.chart+xml"/>
  <Override PartName="/word/drawings/drawing12.xml" ContentType="application/vnd.openxmlformats-officedocument.drawingml.chartshapes+xml"/>
  <Override PartName="/word/charts/chart14.xml" ContentType="application/vnd.openxmlformats-officedocument.drawingml.chart+xml"/>
  <Override PartName="/word/drawings/drawing13.xml" ContentType="application/vnd.openxmlformats-officedocument.drawingml.chartshapes+xml"/>
  <Override PartName="/word/charts/chart15.xml" ContentType="application/vnd.openxmlformats-officedocument.drawingml.chart+xml"/>
  <Override PartName="/word/drawings/drawing14.xml" ContentType="application/vnd.openxmlformats-officedocument.drawingml.chartshapes+xml"/>
  <Override PartName="/word/charts/chart16.xml" ContentType="application/vnd.openxmlformats-officedocument.drawingml.chart+xml"/>
  <Override PartName="/word/drawings/drawing15.xml" ContentType="application/vnd.openxmlformats-officedocument.drawingml.chartshapes+xml"/>
  <Override PartName="/word/charts/chart17.xml" ContentType="application/vnd.openxmlformats-officedocument.drawingml.chart+xml"/>
  <Override PartName="/word/drawings/drawing16.xml" ContentType="application/vnd.openxmlformats-officedocument.drawingml.chartshapes+xml"/>
  <Override PartName="/word/charts/chart18.xml" ContentType="application/vnd.openxmlformats-officedocument.drawingml.chart+xml"/>
  <Override PartName="/word/drawings/drawing17.xml" ContentType="application/vnd.openxmlformats-officedocument.drawingml.chartshapes+xml"/>
  <Override PartName="/word/charts/chart19.xml" ContentType="application/vnd.openxmlformats-officedocument.drawingml.chart+xml"/>
  <Override PartName="/word/drawings/drawing18.xml" ContentType="application/vnd.openxmlformats-officedocument.drawingml.chartshapes+xml"/>
  <Override PartName="/word/charts/chart20.xml" ContentType="application/vnd.openxmlformats-officedocument.drawingml.chart+xml"/>
  <Override PartName="/word/drawings/drawing19.xml" ContentType="application/vnd.openxmlformats-officedocument.drawingml.chartshapes+xml"/>
  <Override PartName="/word/charts/chart21.xml" ContentType="application/vnd.openxmlformats-officedocument.drawingml.chart+xml"/>
  <Override PartName="/word/drawings/drawing20.xml" ContentType="application/vnd.openxmlformats-officedocument.drawingml.chartshapes+xml"/>
  <Override PartName="/word/charts/chart22.xml" ContentType="application/vnd.openxmlformats-officedocument.drawingml.chart+xml"/>
  <Override PartName="/word/drawings/drawing21.xml" ContentType="application/vnd.openxmlformats-officedocument.drawingml.chartshapes+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69701156"/>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1984"/>
            <w:gridCol w:w="3745"/>
          </w:tblGrid>
          <w:tr w:rsidR="00D10FB1" w:rsidTr="00D10FB1">
            <w:trPr>
              <w:trHeight w:val="1440"/>
            </w:trPr>
            <w:tc>
              <w:tcPr>
                <w:tcW w:w="1984" w:type="dxa"/>
                <w:tcBorders>
                  <w:right w:val="single" w:sz="4" w:space="0" w:color="FFFFFF" w:themeColor="background1"/>
                </w:tcBorders>
                <w:shd w:val="clear" w:color="auto" w:fill="00B0F0"/>
              </w:tcPr>
              <w:p w:rsidR="00D10FB1" w:rsidRDefault="00D10FB1"/>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6-02-17T00:00:00Z">
                  <w:dateFormat w:val="yyyy"/>
                  <w:lid w:val="en-US"/>
                  <w:storeMappedDataAs w:val="dateTime"/>
                  <w:calendar w:val="gregorian"/>
                </w:date>
              </w:sdtPr>
              <w:sdtEndPr/>
              <w:sdtContent>
                <w:tc>
                  <w:tcPr>
                    <w:tcW w:w="3745" w:type="dxa"/>
                    <w:tcBorders>
                      <w:left w:val="single" w:sz="4" w:space="0" w:color="FFFFFF" w:themeColor="background1"/>
                    </w:tcBorders>
                    <w:shd w:val="clear" w:color="auto" w:fill="00B0F0"/>
                    <w:vAlign w:val="bottom"/>
                  </w:tcPr>
                  <w:p w:rsidR="00D10FB1" w:rsidRDefault="00D10FB1">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2016</w:t>
                    </w:r>
                  </w:p>
                </w:tc>
              </w:sdtContent>
            </w:sdt>
          </w:tr>
          <w:tr w:rsidR="00D10FB1" w:rsidTr="00D10FB1">
            <w:trPr>
              <w:trHeight w:val="2880"/>
            </w:trPr>
            <w:tc>
              <w:tcPr>
                <w:tcW w:w="1984" w:type="dxa"/>
                <w:tcBorders>
                  <w:right w:val="single" w:sz="4" w:space="0" w:color="000000" w:themeColor="text1"/>
                </w:tcBorders>
              </w:tcPr>
              <w:p w:rsidR="00D10FB1" w:rsidRDefault="00D10FB1"/>
            </w:tc>
            <w:tc>
              <w:tcPr>
                <w:tcW w:w="3745" w:type="dxa"/>
                <w:tcBorders>
                  <w:left w:val="single" w:sz="4" w:space="0" w:color="000000" w:themeColor="text1"/>
                </w:tcBorders>
                <w:vAlign w:val="center"/>
              </w:tcPr>
              <w:sdt>
                <w:sdtPr>
                  <w:rPr>
                    <w:b/>
                    <w:color w:val="31849B" w:themeColor="accent5" w:themeShade="BF"/>
                    <w:sz w:val="52"/>
                  </w:rPr>
                  <w:alias w:val="Company"/>
                  <w:id w:val="15676123"/>
                  <w:dataBinding w:prefixMappings="xmlns:ns0='http://schemas.openxmlformats.org/officeDocument/2006/extended-properties'" w:xpath="/ns0:Properties[1]/ns0:Company[1]" w:storeItemID="{6668398D-A668-4E3E-A5EB-62B293D839F1}"/>
                  <w:text/>
                </w:sdtPr>
                <w:sdtEndPr/>
                <w:sdtContent>
                  <w:p w:rsidR="00D10FB1" w:rsidRPr="00D10FB1" w:rsidRDefault="00D10FB1">
                    <w:pPr>
                      <w:pStyle w:val="NoSpacing"/>
                      <w:rPr>
                        <w:b/>
                        <w:color w:val="31849B" w:themeColor="accent5" w:themeShade="BF"/>
                        <w:sz w:val="52"/>
                      </w:rPr>
                    </w:pPr>
                    <w:r w:rsidRPr="00D10FB1">
                      <w:rPr>
                        <w:b/>
                        <w:color w:val="31849B" w:themeColor="accent5" w:themeShade="BF"/>
                        <w:sz w:val="52"/>
                      </w:rPr>
                      <w:t>NHSRC</w:t>
                    </w:r>
                  </w:p>
                </w:sdtContent>
              </w:sdt>
              <w:p w:rsidR="00D10FB1" w:rsidRDefault="00D10FB1">
                <w:pPr>
                  <w:pStyle w:val="NoSpacing"/>
                  <w:rPr>
                    <w:color w:val="76923C" w:themeColor="accent3" w:themeShade="BF"/>
                  </w:rPr>
                </w:pPr>
              </w:p>
              <w:sdt>
                <w:sdtPr>
                  <w:rPr>
                    <w:b/>
                    <w:color w:val="31849B" w:themeColor="accent5" w:themeShade="BF"/>
                    <w:sz w:val="44"/>
                  </w:rPr>
                  <w:alias w:val="Author"/>
                  <w:id w:val="15676130"/>
                  <w:dataBinding w:prefixMappings="xmlns:ns0='http://schemas.openxmlformats.org/package/2006/metadata/core-properties' xmlns:ns1='http://purl.org/dc/elements/1.1/'" w:xpath="/ns0:coreProperties[1]/ns1:creator[1]" w:storeItemID="{6C3C8BC8-F283-45AE-878A-BAB7291924A1}"/>
                  <w:text/>
                </w:sdtPr>
                <w:sdtEndPr/>
                <w:sdtContent>
                  <w:p w:rsidR="00D10FB1" w:rsidRPr="00D10FB1" w:rsidRDefault="00CE38E3">
                    <w:pPr>
                      <w:pStyle w:val="NoSpacing"/>
                      <w:rPr>
                        <w:b/>
                        <w:color w:val="215868" w:themeColor="accent5" w:themeShade="80"/>
                        <w:sz w:val="44"/>
                      </w:rPr>
                    </w:pPr>
                    <w:r>
                      <w:rPr>
                        <w:b/>
                        <w:color w:val="31849B" w:themeColor="accent5" w:themeShade="BF"/>
                        <w:sz w:val="44"/>
                      </w:rPr>
                      <w:t>Microsoft</w:t>
                    </w:r>
                  </w:p>
                </w:sdtContent>
              </w:sdt>
              <w:p w:rsidR="00D10FB1" w:rsidRPr="00D10FB1" w:rsidRDefault="00D10FB1">
                <w:pPr>
                  <w:pStyle w:val="NoSpacing"/>
                  <w:rPr>
                    <w:color w:val="215868" w:themeColor="accent5" w:themeShade="80"/>
                  </w:rPr>
                </w:pPr>
              </w:p>
            </w:tc>
          </w:tr>
        </w:tbl>
        <w:p w:rsidR="00D10FB1" w:rsidRDefault="00D10FB1"/>
        <w:p w:rsidR="00D10FB1" w:rsidRDefault="00D10FB1"/>
        <w:tbl>
          <w:tblPr>
            <w:tblpPr w:leftFromText="187" w:rightFromText="187" w:horzAnchor="margin" w:tblpXSpec="center" w:tblpYSpec="bottom"/>
            <w:tblW w:w="5000" w:type="pct"/>
            <w:tblLook w:val="04A0" w:firstRow="1" w:lastRow="0" w:firstColumn="1" w:lastColumn="0" w:noHBand="0" w:noVBand="1"/>
          </w:tblPr>
          <w:tblGrid>
            <w:gridCol w:w="9963"/>
          </w:tblGrid>
          <w:tr w:rsidR="00D10FB1">
            <w:tc>
              <w:tcPr>
                <w:tcW w:w="0" w:type="auto"/>
              </w:tcPr>
              <w:p w:rsidR="00D10FB1" w:rsidRPr="00D10FB1" w:rsidRDefault="00D10FB1" w:rsidP="00D10FB1">
                <w:pPr>
                  <w:pStyle w:val="NoSpacing"/>
                  <w:rPr>
                    <w:b/>
                    <w:bCs/>
                    <w:caps/>
                    <w:color w:val="31849B" w:themeColor="accent5" w:themeShade="BF"/>
                    <w:sz w:val="72"/>
                    <w:szCs w:val="72"/>
                  </w:rPr>
                </w:pPr>
                <w:r w:rsidRPr="00D10FB1">
                  <w:rPr>
                    <w:b/>
                    <w:bCs/>
                    <w:caps/>
                    <w:color w:val="31849B" w:themeColor="accent5" w:themeShade="BF"/>
                    <w:sz w:val="72"/>
                    <w:szCs w:val="72"/>
                  </w:rPr>
                  <w:t>[</w:t>
                </w:r>
                <w:sdt>
                  <w:sdtPr>
                    <w:rPr>
                      <w:b/>
                      <w:bCs/>
                      <w:caps/>
                      <w:color w:val="31849B" w:themeColor="accent5" w:themeShade="BF"/>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Pr="00D10FB1">
                      <w:rPr>
                        <w:b/>
                        <w:bCs/>
                        <w:caps/>
                        <w:color w:val="31849B" w:themeColor="accent5" w:themeShade="BF"/>
                        <w:sz w:val="72"/>
                        <w:szCs w:val="72"/>
                      </w:rPr>
                      <w:t>NFHS IV</w:t>
                    </w:r>
                  </w:sdtContent>
                </w:sdt>
                <w:r w:rsidRPr="00D10FB1">
                  <w:rPr>
                    <w:b/>
                    <w:bCs/>
                    <w:caps/>
                    <w:color w:val="31849B" w:themeColor="accent5" w:themeShade="BF"/>
                    <w:sz w:val="72"/>
                    <w:szCs w:val="72"/>
                  </w:rPr>
                  <w:t>]</w:t>
                </w:r>
              </w:p>
            </w:tc>
          </w:tr>
          <w:tr w:rsidR="00D10FB1">
            <w:sdt>
              <w:sdtPr>
                <w:rPr>
                  <w:b/>
                  <w:color w:val="31849B" w:themeColor="accent5" w:themeShade="BF"/>
                  <w:sz w:val="36"/>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rsidR="00D10FB1" w:rsidRPr="00D10FB1" w:rsidRDefault="00D10FB1" w:rsidP="003F3109">
                    <w:pPr>
                      <w:pStyle w:val="NoSpacing"/>
                      <w:rPr>
                        <w:color w:val="31849B" w:themeColor="accent5" w:themeShade="BF"/>
                      </w:rPr>
                    </w:pPr>
                    <w:r w:rsidRPr="00D10FB1">
                      <w:rPr>
                        <w:b/>
                        <w:color w:val="31849B" w:themeColor="accent5" w:themeShade="BF"/>
                        <w:sz w:val="36"/>
                      </w:rPr>
                      <w:t xml:space="preserve">Analysis – Non High Focus  Large States – AP, Haryana, Karnataka, </w:t>
                    </w:r>
                    <w:r w:rsidR="00465B60">
                      <w:rPr>
                        <w:b/>
                        <w:color w:val="31849B" w:themeColor="accent5" w:themeShade="BF"/>
                        <w:sz w:val="36"/>
                      </w:rPr>
                      <w:t xml:space="preserve">Maharashtra, </w:t>
                    </w:r>
                    <w:r w:rsidRPr="00D10FB1">
                      <w:rPr>
                        <w:b/>
                        <w:color w:val="31849B" w:themeColor="accent5" w:themeShade="BF"/>
                        <w:sz w:val="36"/>
                      </w:rPr>
                      <w:t>Tamil Nadu, Tel</w:t>
                    </w:r>
                    <w:r w:rsidR="003F3109">
                      <w:rPr>
                        <w:b/>
                        <w:color w:val="31849B" w:themeColor="accent5" w:themeShade="BF"/>
                        <w:sz w:val="36"/>
                      </w:rPr>
                      <w:t>a</w:t>
                    </w:r>
                    <w:r w:rsidRPr="00D10FB1">
                      <w:rPr>
                        <w:b/>
                        <w:color w:val="31849B" w:themeColor="accent5" w:themeShade="BF"/>
                        <w:sz w:val="36"/>
                      </w:rPr>
                      <w:t>ngana &amp; West Bengal</w:t>
                    </w:r>
                  </w:p>
                </w:tc>
              </w:sdtContent>
            </w:sdt>
          </w:tr>
        </w:tbl>
        <w:p w:rsidR="00D10FB1" w:rsidRDefault="00D10FB1"/>
        <w:p w:rsidR="00D64458" w:rsidRDefault="00D10FB1" w:rsidP="008F3751">
          <w:pPr>
            <w:jc w:val="both"/>
          </w:pPr>
          <w:r>
            <w:br w:type="page"/>
          </w:r>
        </w:p>
      </w:sdtContent>
    </w:sdt>
    <w:p w:rsidR="008F3751" w:rsidRDefault="008F3751" w:rsidP="008F3751">
      <w:pPr>
        <w:jc w:val="both"/>
      </w:pPr>
      <w:r>
        <w:lastRenderedPageBreak/>
        <w:t>The National Family Health Survey 2015-16 (NFHS IV) has released data for 17 states and its districts in the first phase.</w:t>
      </w:r>
    </w:p>
    <w:p w:rsidR="008F3751" w:rsidRDefault="008F3751" w:rsidP="008F3751">
      <w:pPr>
        <w:jc w:val="both"/>
      </w:pPr>
      <w:r>
        <w:t xml:space="preserve">This report compares NFHS IV with NFHS III on 21 indicators and provides analysis of 6 such indicators which NFHS IV has surveyed for the first time. For some indicators, figures from other sources are also referred in the report. NFHS III is not available for some of the states, namely, Andaman &amp; Nicobar Island, Andhra Pradesh, Puducherry and Telangana. </w:t>
      </w:r>
    </w:p>
    <w:p w:rsidR="008F3751" w:rsidRDefault="008F3751" w:rsidP="008F3751">
      <w:pPr>
        <w:jc w:val="both"/>
      </w:pPr>
      <w:r>
        <w:t>The states are divided into three categories:-</w:t>
      </w:r>
    </w:p>
    <w:p w:rsidR="008F3751" w:rsidRDefault="008F3751" w:rsidP="008F3751">
      <w:pPr>
        <w:pStyle w:val="ListParagraph"/>
        <w:numPr>
          <w:ilvl w:val="0"/>
          <w:numId w:val="1"/>
        </w:numPr>
        <w:jc w:val="both"/>
      </w:pPr>
      <w:r>
        <w:t>Small states</w:t>
      </w:r>
      <w:r w:rsidR="00710D36">
        <w:t xml:space="preserve"> </w:t>
      </w:r>
      <w:r>
        <w:t>&amp; UTs – Andaman &amp; Nicobar, Goa, Meghalaya,</w:t>
      </w:r>
      <w:r w:rsidR="00633B9B">
        <w:t xml:space="preserve"> </w:t>
      </w:r>
      <w:r>
        <w:t>Manipur, Puducherry, Sikkim and Tripura</w:t>
      </w:r>
    </w:p>
    <w:p w:rsidR="008F3751" w:rsidRDefault="008F3751" w:rsidP="008F3751">
      <w:pPr>
        <w:pStyle w:val="ListParagraph"/>
        <w:numPr>
          <w:ilvl w:val="0"/>
          <w:numId w:val="1"/>
        </w:numPr>
        <w:jc w:val="both"/>
      </w:pPr>
      <w:r>
        <w:t>High Focus States – Bihar, Madhya Pradesh and Uttarakhand</w:t>
      </w:r>
    </w:p>
    <w:p w:rsidR="008F3751" w:rsidRDefault="008F3751" w:rsidP="008F3751">
      <w:pPr>
        <w:pStyle w:val="ListParagraph"/>
        <w:numPr>
          <w:ilvl w:val="0"/>
          <w:numId w:val="1"/>
        </w:numPr>
        <w:jc w:val="both"/>
      </w:pPr>
      <w:r>
        <w:t>Non High Focus Large States – Andhra Pradesh, Haryana, Karnataka, Maharashtra, Tamil Nadu, Telangana  and West Bengal</w:t>
      </w:r>
    </w:p>
    <w:p w:rsidR="008F3751" w:rsidRDefault="008F3751" w:rsidP="008F3751">
      <w:pPr>
        <w:jc w:val="both"/>
      </w:pPr>
      <w:r>
        <w:t xml:space="preserve">This report is related to </w:t>
      </w:r>
      <w:r w:rsidR="00F52C2C">
        <w:t xml:space="preserve">Non </w:t>
      </w:r>
      <w:r>
        <w:t xml:space="preserve">High </w:t>
      </w:r>
      <w:r w:rsidR="00CA4F17">
        <w:t xml:space="preserve">Focus </w:t>
      </w:r>
      <w:r w:rsidR="00710D36">
        <w:t xml:space="preserve">Large </w:t>
      </w:r>
      <w:r>
        <w:t>States.</w:t>
      </w:r>
    </w:p>
    <w:p w:rsidR="008F3751" w:rsidRDefault="008F3751" w:rsidP="00633B9B">
      <w:pPr>
        <w:jc w:val="both"/>
        <w:rPr>
          <w:u w:val="single"/>
        </w:rPr>
      </w:pPr>
      <w:r w:rsidRPr="00E60263">
        <w:rPr>
          <w:b/>
          <w:sz w:val="28"/>
          <w:u w:val="single"/>
        </w:rPr>
        <w:t>Indicators</w:t>
      </w:r>
    </w:p>
    <w:p w:rsidR="008F3751" w:rsidRPr="00A82DE4" w:rsidRDefault="008F3751" w:rsidP="00633B9B">
      <w:pPr>
        <w:pStyle w:val="ListParagraph"/>
        <w:numPr>
          <w:ilvl w:val="0"/>
          <w:numId w:val="2"/>
        </w:numPr>
        <w:ind w:left="360"/>
        <w:jc w:val="both"/>
      </w:pPr>
      <w:r w:rsidRPr="0048073F">
        <w:rPr>
          <w:b/>
          <w:bCs/>
        </w:rPr>
        <w:t>Household with any usual member covered by heal</w:t>
      </w:r>
      <w:r w:rsidR="007B0828">
        <w:rPr>
          <w:b/>
          <w:bCs/>
        </w:rPr>
        <w:t>th scheme or Health Insurance (%) (</w:t>
      </w:r>
      <w:r w:rsidRPr="0048073F">
        <w:rPr>
          <w:b/>
          <w:bCs/>
        </w:rPr>
        <w:t xml:space="preserve">Graph 1): </w:t>
      </w:r>
      <w:r w:rsidR="001F63FC" w:rsidRPr="001F63FC">
        <w:rPr>
          <w:bCs/>
        </w:rPr>
        <w:t>This data is not available for Andhra Pradesh and Telangana in NFHS III. As per NFHS IV</w:t>
      </w:r>
      <w:r w:rsidR="001F63FC">
        <w:rPr>
          <w:bCs/>
        </w:rPr>
        <w:t>,</w:t>
      </w:r>
      <w:r w:rsidR="006C3CBB">
        <w:rPr>
          <w:bCs/>
        </w:rPr>
        <w:t xml:space="preserve"> in Andhra Pradesh,</w:t>
      </w:r>
      <w:r w:rsidR="001F63FC">
        <w:rPr>
          <w:bCs/>
        </w:rPr>
        <w:t xml:space="preserve"> 74.6% households are covered by Health Schemes or Health Insurance. </w:t>
      </w:r>
      <w:r w:rsidR="006C3CBB">
        <w:rPr>
          <w:bCs/>
        </w:rPr>
        <w:t xml:space="preserve">In </w:t>
      </w:r>
      <w:r w:rsidR="001F63FC">
        <w:rPr>
          <w:bCs/>
        </w:rPr>
        <w:t>Haryana</w:t>
      </w:r>
      <w:r w:rsidR="006C3CBB">
        <w:rPr>
          <w:bCs/>
        </w:rPr>
        <w:t>,</w:t>
      </w:r>
      <w:r w:rsidR="001F63FC">
        <w:rPr>
          <w:bCs/>
        </w:rPr>
        <w:t xml:space="preserve"> 12.2% </w:t>
      </w:r>
      <w:r w:rsidR="00A82DE4">
        <w:rPr>
          <w:bCs/>
        </w:rPr>
        <w:t xml:space="preserve">households </w:t>
      </w:r>
      <w:r w:rsidR="006C3CBB">
        <w:rPr>
          <w:bCs/>
        </w:rPr>
        <w:t xml:space="preserve">are </w:t>
      </w:r>
      <w:r w:rsidR="00A82DE4">
        <w:rPr>
          <w:bCs/>
        </w:rPr>
        <w:t>covered,</w:t>
      </w:r>
      <w:r w:rsidR="006C3CBB">
        <w:rPr>
          <w:bCs/>
        </w:rPr>
        <w:t xml:space="preserve"> it has increased compared to </w:t>
      </w:r>
      <w:r w:rsidR="001F63FC">
        <w:rPr>
          <w:bCs/>
        </w:rPr>
        <w:t>6.7% (</w:t>
      </w:r>
      <w:r w:rsidR="006C3CBB">
        <w:rPr>
          <w:bCs/>
        </w:rPr>
        <w:t xml:space="preserve"> </w:t>
      </w:r>
      <w:r w:rsidR="001F63FC">
        <w:rPr>
          <w:bCs/>
        </w:rPr>
        <w:t>NFHS</w:t>
      </w:r>
      <w:r w:rsidR="00A44793">
        <w:rPr>
          <w:bCs/>
        </w:rPr>
        <w:t xml:space="preserve"> </w:t>
      </w:r>
      <w:r w:rsidR="001F63FC">
        <w:rPr>
          <w:bCs/>
        </w:rPr>
        <w:t>III</w:t>
      </w:r>
      <w:r w:rsidR="006C3CBB">
        <w:rPr>
          <w:bCs/>
        </w:rPr>
        <w:t xml:space="preserve"> </w:t>
      </w:r>
      <w:r w:rsidR="001F63FC">
        <w:rPr>
          <w:bCs/>
        </w:rPr>
        <w:t>).</w:t>
      </w:r>
      <w:r w:rsidR="00633B9B">
        <w:rPr>
          <w:bCs/>
        </w:rPr>
        <w:t xml:space="preserve"> </w:t>
      </w:r>
      <w:r w:rsidR="00A82DE4">
        <w:rPr>
          <w:bCs/>
        </w:rPr>
        <w:t>In Karnataka</w:t>
      </w:r>
      <w:r w:rsidR="006C3CBB">
        <w:rPr>
          <w:bCs/>
        </w:rPr>
        <w:t>,</w:t>
      </w:r>
      <w:r w:rsidR="00A82DE4">
        <w:rPr>
          <w:bCs/>
        </w:rPr>
        <w:t xml:space="preserve"> it has </w:t>
      </w:r>
      <w:r w:rsidR="006C3CBB">
        <w:rPr>
          <w:bCs/>
        </w:rPr>
        <w:t xml:space="preserve">increased </w:t>
      </w:r>
      <w:r w:rsidR="00A82DE4">
        <w:rPr>
          <w:bCs/>
        </w:rPr>
        <w:t>from 10.3% ( NFHS III</w:t>
      </w:r>
      <w:r w:rsidR="006C3CBB">
        <w:rPr>
          <w:bCs/>
        </w:rPr>
        <w:t xml:space="preserve"> </w:t>
      </w:r>
      <w:r w:rsidR="00A82DE4">
        <w:rPr>
          <w:bCs/>
        </w:rPr>
        <w:t>) to 28.1% ( NFHS IV</w:t>
      </w:r>
      <w:r w:rsidR="006C3CBB">
        <w:rPr>
          <w:bCs/>
        </w:rPr>
        <w:t xml:space="preserve"> </w:t>
      </w:r>
      <w:r w:rsidR="00A82DE4">
        <w:rPr>
          <w:bCs/>
        </w:rPr>
        <w:t>), In Maharashtra it has gone up from 7% ( NFHS III</w:t>
      </w:r>
      <w:r w:rsidR="006C3CBB">
        <w:rPr>
          <w:bCs/>
        </w:rPr>
        <w:t xml:space="preserve"> </w:t>
      </w:r>
      <w:r w:rsidR="00A82DE4">
        <w:rPr>
          <w:bCs/>
        </w:rPr>
        <w:t>) to 15% ( NFHS IV</w:t>
      </w:r>
      <w:r w:rsidR="006C3CBB">
        <w:rPr>
          <w:bCs/>
        </w:rPr>
        <w:t xml:space="preserve"> </w:t>
      </w:r>
      <w:r w:rsidR="00A82DE4">
        <w:rPr>
          <w:bCs/>
        </w:rPr>
        <w:t>),</w:t>
      </w:r>
      <w:r w:rsidR="006C3CBB">
        <w:rPr>
          <w:bCs/>
        </w:rPr>
        <w:t xml:space="preserve"> </w:t>
      </w:r>
      <w:r w:rsidR="00A82DE4">
        <w:rPr>
          <w:bCs/>
        </w:rPr>
        <w:t>in Tamil Nadu, the insurance coverage has gone up from 4% ( NFHS III</w:t>
      </w:r>
      <w:r w:rsidR="006C3CBB">
        <w:rPr>
          <w:bCs/>
        </w:rPr>
        <w:t xml:space="preserve"> </w:t>
      </w:r>
      <w:r w:rsidR="00A82DE4">
        <w:rPr>
          <w:bCs/>
        </w:rPr>
        <w:t>) to 64.1% households ( NFHS IV</w:t>
      </w:r>
      <w:r w:rsidR="006C3CBB">
        <w:rPr>
          <w:bCs/>
        </w:rPr>
        <w:t xml:space="preserve"> </w:t>
      </w:r>
      <w:r w:rsidR="00A82DE4">
        <w:rPr>
          <w:bCs/>
        </w:rPr>
        <w:t>), in West Bengal, the coverage has increased from 6% ( NFHS III</w:t>
      </w:r>
      <w:r w:rsidR="006C3CBB">
        <w:rPr>
          <w:bCs/>
        </w:rPr>
        <w:t xml:space="preserve"> </w:t>
      </w:r>
      <w:r w:rsidR="00A82DE4">
        <w:rPr>
          <w:bCs/>
        </w:rPr>
        <w:t>) to 33.4% households</w:t>
      </w:r>
      <w:r w:rsidR="006C3CBB">
        <w:rPr>
          <w:bCs/>
        </w:rPr>
        <w:t xml:space="preserve"> </w:t>
      </w:r>
      <w:r w:rsidR="00A82DE4">
        <w:rPr>
          <w:bCs/>
        </w:rPr>
        <w:t>(</w:t>
      </w:r>
      <w:r w:rsidR="006C3CBB">
        <w:rPr>
          <w:bCs/>
        </w:rPr>
        <w:t xml:space="preserve"> </w:t>
      </w:r>
      <w:r w:rsidR="00A82DE4">
        <w:rPr>
          <w:bCs/>
        </w:rPr>
        <w:t>NFHS IV</w:t>
      </w:r>
      <w:r w:rsidR="006C3CBB">
        <w:rPr>
          <w:bCs/>
        </w:rPr>
        <w:t xml:space="preserve"> </w:t>
      </w:r>
      <w:r w:rsidR="00A82DE4">
        <w:rPr>
          <w:bCs/>
        </w:rPr>
        <w:t>).</w:t>
      </w:r>
      <w:r w:rsidR="006C3CBB" w:rsidRPr="006C3CBB">
        <w:rPr>
          <w:bCs/>
        </w:rPr>
        <w:t xml:space="preserve"> </w:t>
      </w:r>
      <w:r w:rsidR="006C3CBB">
        <w:rPr>
          <w:bCs/>
        </w:rPr>
        <w:t xml:space="preserve">In Telangana, 66.4% </w:t>
      </w:r>
      <w:r w:rsidR="000C29E4">
        <w:rPr>
          <w:bCs/>
        </w:rPr>
        <w:t xml:space="preserve">of the </w:t>
      </w:r>
      <w:r w:rsidR="006C3CBB">
        <w:rPr>
          <w:bCs/>
        </w:rPr>
        <w:t>households are covered as per NFHS IV.</w:t>
      </w:r>
    </w:p>
    <w:p w:rsidR="00A82DE4" w:rsidRDefault="00A82DE4" w:rsidP="00633B9B">
      <w:pPr>
        <w:pStyle w:val="ListParagraph"/>
        <w:ind w:left="360"/>
        <w:jc w:val="both"/>
      </w:pPr>
    </w:p>
    <w:p w:rsidR="003930FF" w:rsidRPr="001F63FC" w:rsidRDefault="003930FF" w:rsidP="00633B9B">
      <w:pPr>
        <w:pStyle w:val="ListParagraph"/>
        <w:ind w:left="360"/>
        <w:jc w:val="both"/>
      </w:pPr>
    </w:p>
    <w:p w:rsidR="00800FC5" w:rsidRPr="00854946" w:rsidRDefault="008F3751" w:rsidP="00633B9B">
      <w:pPr>
        <w:pStyle w:val="ListParagraph"/>
        <w:numPr>
          <w:ilvl w:val="0"/>
          <w:numId w:val="2"/>
        </w:numPr>
        <w:ind w:left="360"/>
        <w:jc w:val="both"/>
      </w:pPr>
      <w:r w:rsidRPr="0048073F">
        <w:rPr>
          <w:b/>
        </w:rPr>
        <w:t>Total Fertility Rate (TFR)</w:t>
      </w:r>
      <w:r w:rsidR="00633B9B">
        <w:rPr>
          <w:b/>
        </w:rPr>
        <w:t xml:space="preserve"> </w:t>
      </w:r>
      <w:r w:rsidR="00633B9B">
        <w:rPr>
          <w:b/>
          <w:bCs/>
        </w:rPr>
        <w:t>(</w:t>
      </w:r>
      <w:r w:rsidRPr="0048073F">
        <w:rPr>
          <w:b/>
          <w:bCs/>
        </w:rPr>
        <w:t xml:space="preserve">Graph 2): </w:t>
      </w:r>
      <w:r w:rsidR="00854946" w:rsidRPr="001F63FC">
        <w:rPr>
          <w:bCs/>
        </w:rPr>
        <w:t xml:space="preserve">This </w:t>
      </w:r>
      <w:r w:rsidR="00854946" w:rsidRPr="00633B9B">
        <w:rPr>
          <w:bCs/>
        </w:rPr>
        <w:t>data is not available for Andhra Pradesh and Telangana in NFHS III. As per NFHS IV</w:t>
      </w:r>
      <w:r w:rsidR="000C29E4">
        <w:rPr>
          <w:bCs/>
        </w:rPr>
        <w:t>,</w:t>
      </w:r>
      <w:r w:rsidR="00854946" w:rsidRPr="00633B9B">
        <w:rPr>
          <w:bCs/>
        </w:rPr>
        <w:t xml:space="preserve"> TFR for Andhra Pradesh is 1.8. It is </w:t>
      </w:r>
      <w:r w:rsidR="000C29E4">
        <w:rPr>
          <w:bCs/>
        </w:rPr>
        <w:t xml:space="preserve">reported </w:t>
      </w:r>
      <w:r w:rsidR="00854946" w:rsidRPr="00633B9B">
        <w:rPr>
          <w:bCs/>
        </w:rPr>
        <w:t>same</w:t>
      </w:r>
      <w:r w:rsidR="000C29E4">
        <w:rPr>
          <w:bCs/>
        </w:rPr>
        <w:t xml:space="preserve"> (1.8)</w:t>
      </w:r>
      <w:r w:rsidR="00854946" w:rsidRPr="00633B9B">
        <w:rPr>
          <w:bCs/>
        </w:rPr>
        <w:t xml:space="preserve"> as per </w:t>
      </w:r>
      <w:r w:rsidR="00854946" w:rsidRPr="00633B9B">
        <w:rPr>
          <w:rFonts w:ascii="Calibri" w:eastAsia="Times New Roman" w:hAnsi="Calibri" w:cs="Times New Roman"/>
          <w:bCs/>
          <w:color w:val="000000"/>
        </w:rPr>
        <w:t>Statistical Report</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(RGI) 2013. In Haryana</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the</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TFR has gone down from 2.</w:t>
      </w:r>
      <w:r w:rsidR="00710D36">
        <w:rPr>
          <w:rFonts w:ascii="Calibri" w:eastAsia="Times New Roman" w:hAnsi="Calibri" w:cs="Times New Roman"/>
          <w:bCs/>
          <w:color w:val="000000"/>
        </w:rPr>
        <w:t>7</w:t>
      </w:r>
      <w:r w:rsidR="000C29E4">
        <w:rPr>
          <w:rFonts w:ascii="Calibri" w:eastAsia="Times New Roman" w:hAnsi="Calibri" w:cs="Times New Roman"/>
          <w:bCs/>
          <w:color w:val="000000"/>
        </w:rPr>
        <w:t xml:space="preserve"> </w:t>
      </w:r>
      <w:r w:rsidR="00710D36">
        <w:rPr>
          <w:rFonts w:ascii="Calibri" w:eastAsia="Times New Roman" w:hAnsi="Calibri" w:cs="Times New Roman"/>
          <w:bCs/>
          <w:color w:val="000000"/>
        </w:rPr>
        <w:t>(</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NFHS</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III</w:t>
      </w:r>
      <w:r w:rsidR="00710D36">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 to 2.1(</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NFHS</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IV</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 As per Statistical Report</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 xml:space="preserve">(RGI) 2013, it is 2.2 in Haryana. In </w:t>
      </w:r>
      <w:r w:rsidR="00335087" w:rsidRPr="00633B9B">
        <w:rPr>
          <w:rFonts w:ascii="Calibri" w:eastAsia="Times New Roman" w:hAnsi="Calibri" w:cs="Times New Roman"/>
          <w:bCs/>
          <w:color w:val="000000"/>
        </w:rPr>
        <w:t>Karnataka</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TFR has gone down from 2.1</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NFHS</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III</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 to 1.8</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NFHS</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IV</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 As per Statistical Report</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(RGI) 2013, it is 1.9 in Karnataka. In Maharashtra</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the</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TFR has gone down from 2.1</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 NFHS</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III</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 to 1.9</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NFHS</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IV</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 As per Statistical Report</w:t>
      </w:r>
      <w:r w:rsidR="000C29E4">
        <w:rPr>
          <w:rFonts w:ascii="Calibri" w:eastAsia="Times New Roman" w:hAnsi="Calibri" w:cs="Times New Roman"/>
          <w:bCs/>
          <w:color w:val="000000"/>
        </w:rPr>
        <w:t xml:space="preserve"> </w:t>
      </w:r>
      <w:r w:rsidR="00854946" w:rsidRPr="00633B9B">
        <w:rPr>
          <w:rFonts w:ascii="Calibri" w:eastAsia="Times New Roman" w:hAnsi="Calibri" w:cs="Times New Roman"/>
          <w:bCs/>
          <w:color w:val="000000"/>
        </w:rPr>
        <w:t xml:space="preserve">(RGI) 2013, it is </w:t>
      </w:r>
      <w:r w:rsidR="00800FC5" w:rsidRPr="00633B9B">
        <w:rPr>
          <w:rFonts w:ascii="Calibri" w:eastAsia="Times New Roman" w:hAnsi="Calibri" w:cs="Times New Roman"/>
          <w:bCs/>
          <w:color w:val="000000"/>
        </w:rPr>
        <w:t>1.8</w:t>
      </w:r>
      <w:r w:rsidR="00854946" w:rsidRPr="00633B9B">
        <w:rPr>
          <w:rFonts w:ascii="Calibri" w:eastAsia="Times New Roman" w:hAnsi="Calibri" w:cs="Times New Roman"/>
          <w:bCs/>
          <w:color w:val="000000"/>
        </w:rPr>
        <w:t xml:space="preserve"> in </w:t>
      </w:r>
      <w:r w:rsidR="00800FC5" w:rsidRPr="00633B9B">
        <w:rPr>
          <w:rFonts w:ascii="Calibri" w:eastAsia="Times New Roman" w:hAnsi="Calibri" w:cs="Times New Roman"/>
          <w:bCs/>
          <w:color w:val="000000"/>
        </w:rPr>
        <w:t>Maharashtra. In Tamil Nadu</w:t>
      </w:r>
      <w:r w:rsidR="000C29E4">
        <w:rPr>
          <w:rFonts w:ascii="Calibri" w:eastAsia="Times New Roman" w:hAnsi="Calibri" w:cs="Times New Roman"/>
          <w:bCs/>
          <w:color w:val="000000"/>
        </w:rPr>
        <w:t xml:space="preserve">, </w:t>
      </w:r>
      <w:r w:rsidR="00800FC5" w:rsidRPr="00633B9B">
        <w:rPr>
          <w:rFonts w:ascii="Calibri" w:eastAsia="Times New Roman" w:hAnsi="Calibri" w:cs="Times New Roman"/>
          <w:bCs/>
          <w:color w:val="000000"/>
        </w:rPr>
        <w:t>the</w:t>
      </w:r>
      <w:r w:rsidR="000C29E4">
        <w:rPr>
          <w:rFonts w:ascii="Calibri" w:eastAsia="Times New Roman" w:hAnsi="Calibri" w:cs="Times New Roman"/>
          <w:bCs/>
          <w:color w:val="000000"/>
        </w:rPr>
        <w:t xml:space="preserve"> </w:t>
      </w:r>
      <w:r w:rsidR="00800FC5" w:rsidRPr="00633B9B">
        <w:rPr>
          <w:rFonts w:ascii="Calibri" w:eastAsia="Times New Roman" w:hAnsi="Calibri" w:cs="Times New Roman"/>
          <w:bCs/>
          <w:color w:val="000000"/>
        </w:rPr>
        <w:t>TFR has gone down from 1.8</w:t>
      </w:r>
      <w:r w:rsidR="000C29E4">
        <w:rPr>
          <w:rFonts w:ascii="Calibri" w:eastAsia="Times New Roman" w:hAnsi="Calibri" w:cs="Times New Roman"/>
          <w:bCs/>
          <w:color w:val="000000"/>
        </w:rPr>
        <w:t xml:space="preserve"> </w:t>
      </w:r>
      <w:r w:rsidR="00800FC5" w:rsidRPr="00633B9B">
        <w:rPr>
          <w:rFonts w:ascii="Calibri" w:eastAsia="Times New Roman" w:hAnsi="Calibri" w:cs="Times New Roman"/>
          <w:bCs/>
          <w:color w:val="000000"/>
        </w:rPr>
        <w:t>(NFHS</w:t>
      </w:r>
      <w:r w:rsidR="000C29E4">
        <w:rPr>
          <w:rFonts w:ascii="Calibri" w:eastAsia="Times New Roman" w:hAnsi="Calibri" w:cs="Times New Roman"/>
          <w:bCs/>
          <w:color w:val="000000"/>
        </w:rPr>
        <w:t xml:space="preserve"> </w:t>
      </w:r>
      <w:r w:rsidR="00800FC5" w:rsidRPr="00633B9B">
        <w:rPr>
          <w:rFonts w:ascii="Calibri" w:eastAsia="Times New Roman" w:hAnsi="Calibri" w:cs="Times New Roman"/>
          <w:bCs/>
          <w:color w:val="000000"/>
        </w:rPr>
        <w:t>III</w:t>
      </w:r>
      <w:r w:rsidR="000C29E4">
        <w:rPr>
          <w:rFonts w:ascii="Calibri" w:eastAsia="Times New Roman" w:hAnsi="Calibri" w:cs="Times New Roman"/>
          <w:bCs/>
          <w:color w:val="000000"/>
        </w:rPr>
        <w:t xml:space="preserve"> </w:t>
      </w:r>
      <w:r w:rsidR="00800FC5" w:rsidRPr="00633B9B">
        <w:rPr>
          <w:rFonts w:ascii="Calibri" w:eastAsia="Times New Roman" w:hAnsi="Calibri" w:cs="Times New Roman"/>
          <w:bCs/>
          <w:color w:val="000000"/>
        </w:rPr>
        <w:t>) to 1.7</w:t>
      </w:r>
      <w:r w:rsidR="000C29E4">
        <w:rPr>
          <w:rFonts w:ascii="Calibri" w:eastAsia="Times New Roman" w:hAnsi="Calibri" w:cs="Times New Roman"/>
          <w:bCs/>
          <w:color w:val="000000"/>
        </w:rPr>
        <w:t xml:space="preserve"> </w:t>
      </w:r>
      <w:r w:rsidR="00800FC5" w:rsidRPr="00633B9B">
        <w:rPr>
          <w:rFonts w:ascii="Calibri" w:eastAsia="Times New Roman" w:hAnsi="Calibri" w:cs="Times New Roman"/>
          <w:bCs/>
          <w:color w:val="000000"/>
        </w:rPr>
        <w:t>(</w:t>
      </w:r>
      <w:r w:rsidR="000C29E4">
        <w:rPr>
          <w:rFonts w:ascii="Calibri" w:eastAsia="Times New Roman" w:hAnsi="Calibri" w:cs="Times New Roman"/>
          <w:bCs/>
          <w:color w:val="000000"/>
        </w:rPr>
        <w:t xml:space="preserve"> </w:t>
      </w:r>
      <w:r w:rsidR="00800FC5" w:rsidRPr="00633B9B">
        <w:rPr>
          <w:rFonts w:ascii="Calibri" w:eastAsia="Times New Roman" w:hAnsi="Calibri" w:cs="Times New Roman"/>
          <w:bCs/>
          <w:color w:val="000000"/>
        </w:rPr>
        <w:t>NFHS</w:t>
      </w:r>
      <w:r w:rsidR="000C29E4">
        <w:rPr>
          <w:rFonts w:ascii="Calibri" w:eastAsia="Times New Roman" w:hAnsi="Calibri" w:cs="Times New Roman"/>
          <w:bCs/>
          <w:color w:val="000000"/>
        </w:rPr>
        <w:t xml:space="preserve"> </w:t>
      </w:r>
      <w:r w:rsidR="00800FC5" w:rsidRPr="00633B9B">
        <w:rPr>
          <w:rFonts w:ascii="Calibri" w:eastAsia="Times New Roman" w:hAnsi="Calibri" w:cs="Times New Roman"/>
          <w:bCs/>
          <w:color w:val="000000"/>
        </w:rPr>
        <w:t>IV</w:t>
      </w:r>
      <w:r w:rsidR="000C29E4">
        <w:rPr>
          <w:rFonts w:ascii="Calibri" w:eastAsia="Times New Roman" w:hAnsi="Calibri" w:cs="Times New Roman"/>
          <w:bCs/>
          <w:color w:val="000000"/>
        </w:rPr>
        <w:t xml:space="preserve"> </w:t>
      </w:r>
      <w:r w:rsidR="00800FC5" w:rsidRPr="00633B9B">
        <w:rPr>
          <w:rFonts w:ascii="Calibri" w:eastAsia="Times New Roman" w:hAnsi="Calibri" w:cs="Times New Roman"/>
          <w:bCs/>
          <w:color w:val="000000"/>
        </w:rPr>
        <w:t>). As per Statistical Report</w:t>
      </w:r>
      <w:r w:rsidR="000C29E4">
        <w:rPr>
          <w:rFonts w:ascii="Calibri" w:eastAsia="Times New Roman" w:hAnsi="Calibri" w:cs="Times New Roman"/>
          <w:bCs/>
          <w:color w:val="000000"/>
        </w:rPr>
        <w:t xml:space="preserve"> </w:t>
      </w:r>
      <w:r w:rsidR="00800FC5" w:rsidRPr="00633B9B">
        <w:rPr>
          <w:rFonts w:ascii="Calibri" w:eastAsia="Times New Roman" w:hAnsi="Calibri" w:cs="Times New Roman"/>
          <w:bCs/>
          <w:color w:val="000000"/>
        </w:rPr>
        <w:t>(RGI) 2013, it is same, 1.7 in TN. In West Bengal the</w:t>
      </w:r>
      <w:r w:rsidR="000C29E4">
        <w:rPr>
          <w:rFonts w:ascii="Calibri" w:eastAsia="Times New Roman" w:hAnsi="Calibri" w:cs="Times New Roman"/>
          <w:bCs/>
          <w:color w:val="000000"/>
        </w:rPr>
        <w:t xml:space="preserve"> </w:t>
      </w:r>
      <w:r w:rsidR="00800FC5" w:rsidRPr="00633B9B">
        <w:rPr>
          <w:rFonts w:ascii="Calibri" w:eastAsia="Times New Roman" w:hAnsi="Calibri" w:cs="Times New Roman"/>
          <w:bCs/>
          <w:color w:val="000000"/>
        </w:rPr>
        <w:t>TFR has gone down from 2.3</w:t>
      </w:r>
      <w:r w:rsidR="000C29E4">
        <w:rPr>
          <w:rFonts w:ascii="Calibri" w:eastAsia="Times New Roman" w:hAnsi="Calibri" w:cs="Times New Roman"/>
          <w:bCs/>
          <w:color w:val="000000"/>
        </w:rPr>
        <w:t xml:space="preserve"> </w:t>
      </w:r>
      <w:r w:rsidR="00800FC5" w:rsidRPr="00633B9B">
        <w:rPr>
          <w:rFonts w:ascii="Calibri" w:eastAsia="Times New Roman" w:hAnsi="Calibri" w:cs="Times New Roman"/>
          <w:bCs/>
          <w:color w:val="000000"/>
        </w:rPr>
        <w:t>( NFHS</w:t>
      </w:r>
      <w:r w:rsidR="000C29E4">
        <w:rPr>
          <w:rFonts w:ascii="Calibri" w:eastAsia="Times New Roman" w:hAnsi="Calibri" w:cs="Times New Roman"/>
          <w:bCs/>
          <w:color w:val="000000"/>
        </w:rPr>
        <w:t xml:space="preserve"> </w:t>
      </w:r>
      <w:r w:rsidR="00800FC5" w:rsidRPr="00633B9B">
        <w:rPr>
          <w:rFonts w:ascii="Calibri" w:eastAsia="Times New Roman" w:hAnsi="Calibri" w:cs="Times New Roman"/>
          <w:bCs/>
          <w:color w:val="000000"/>
        </w:rPr>
        <w:t>III</w:t>
      </w:r>
      <w:r w:rsidR="000C29E4">
        <w:rPr>
          <w:rFonts w:ascii="Calibri" w:eastAsia="Times New Roman" w:hAnsi="Calibri" w:cs="Times New Roman"/>
          <w:bCs/>
          <w:color w:val="000000"/>
        </w:rPr>
        <w:t xml:space="preserve"> </w:t>
      </w:r>
      <w:r w:rsidR="00800FC5" w:rsidRPr="00633B9B">
        <w:rPr>
          <w:rFonts w:ascii="Calibri" w:eastAsia="Times New Roman" w:hAnsi="Calibri" w:cs="Times New Roman"/>
          <w:bCs/>
          <w:color w:val="000000"/>
        </w:rPr>
        <w:t>) to 1.8</w:t>
      </w:r>
      <w:r w:rsidR="000C29E4">
        <w:rPr>
          <w:rFonts w:ascii="Calibri" w:eastAsia="Times New Roman" w:hAnsi="Calibri" w:cs="Times New Roman"/>
          <w:bCs/>
          <w:color w:val="000000"/>
        </w:rPr>
        <w:t xml:space="preserve"> </w:t>
      </w:r>
      <w:r w:rsidR="00800FC5" w:rsidRPr="00633B9B">
        <w:rPr>
          <w:rFonts w:ascii="Calibri" w:eastAsia="Times New Roman" w:hAnsi="Calibri" w:cs="Times New Roman"/>
          <w:bCs/>
          <w:color w:val="000000"/>
        </w:rPr>
        <w:t>(</w:t>
      </w:r>
      <w:r w:rsidR="002D235B">
        <w:rPr>
          <w:rFonts w:ascii="Calibri" w:eastAsia="Times New Roman" w:hAnsi="Calibri" w:cs="Times New Roman"/>
          <w:bCs/>
          <w:color w:val="000000"/>
        </w:rPr>
        <w:t xml:space="preserve"> </w:t>
      </w:r>
      <w:r w:rsidR="00800FC5" w:rsidRPr="00633B9B">
        <w:rPr>
          <w:rFonts w:ascii="Calibri" w:eastAsia="Times New Roman" w:hAnsi="Calibri" w:cs="Times New Roman"/>
          <w:bCs/>
          <w:color w:val="000000"/>
        </w:rPr>
        <w:t>NFHS</w:t>
      </w:r>
      <w:r w:rsidR="000C29E4">
        <w:rPr>
          <w:rFonts w:ascii="Calibri" w:eastAsia="Times New Roman" w:hAnsi="Calibri" w:cs="Times New Roman"/>
          <w:bCs/>
          <w:color w:val="000000"/>
        </w:rPr>
        <w:t xml:space="preserve"> </w:t>
      </w:r>
      <w:r w:rsidR="00800FC5" w:rsidRPr="00633B9B">
        <w:rPr>
          <w:rFonts w:ascii="Calibri" w:eastAsia="Times New Roman" w:hAnsi="Calibri" w:cs="Times New Roman"/>
          <w:bCs/>
          <w:color w:val="000000"/>
        </w:rPr>
        <w:t>IV</w:t>
      </w:r>
      <w:r w:rsidR="000C29E4">
        <w:rPr>
          <w:rFonts w:ascii="Calibri" w:eastAsia="Times New Roman" w:hAnsi="Calibri" w:cs="Times New Roman"/>
          <w:bCs/>
          <w:color w:val="000000"/>
        </w:rPr>
        <w:t xml:space="preserve"> </w:t>
      </w:r>
      <w:r w:rsidR="00800FC5" w:rsidRPr="00633B9B">
        <w:rPr>
          <w:rFonts w:ascii="Calibri" w:eastAsia="Times New Roman" w:hAnsi="Calibri" w:cs="Times New Roman"/>
          <w:bCs/>
          <w:color w:val="000000"/>
        </w:rPr>
        <w:t>). As per Statistical Report</w:t>
      </w:r>
      <w:r w:rsidR="000C29E4">
        <w:rPr>
          <w:rFonts w:ascii="Calibri" w:eastAsia="Times New Roman" w:hAnsi="Calibri" w:cs="Times New Roman"/>
          <w:bCs/>
          <w:color w:val="000000"/>
        </w:rPr>
        <w:t xml:space="preserve"> </w:t>
      </w:r>
      <w:r w:rsidR="00800FC5" w:rsidRPr="00633B9B">
        <w:rPr>
          <w:rFonts w:ascii="Calibri" w:eastAsia="Times New Roman" w:hAnsi="Calibri" w:cs="Times New Roman"/>
          <w:bCs/>
          <w:color w:val="000000"/>
        </w:rPr>
        <w:t>(RGI) 2013, it is</w:t>
      </w:r>
      <w:r w:rsidR="00800FC5">
        <w:rPr>
          <w:rFonts w:ascii="Calibri" w:eastAsia="Times New Roman" w:hAnsi="Calibri" w:cs="Times New Roman"/>
          <w:bCs/>
          <w:color w:val="000000"/>
        </w:rPr>
        <w:t xml:space="preserve"> 1.6 in WB.</w:t>
      </w:r>
      <w:r w:rsidR="000C29E4" w:rsidRPr="000C29E4">
        <w:rPr>
          <w:rFonts w:ascii="Calibri" w:eastAsia="Times New Roman" w:hAnsi="Calibri" w:cs="Times New Roman"/>
          <w:bCs/>
          <w:color w:val="000000"/>
        </w:rPr>
        <w:t xml:space="preserve"> </w:t>
      </w:r>
      <w:r w:rsidR="000C29E4" w:rsidRPr="00633B9B">
        <w:rPr>
          <w:rFonts w:ascii="Calibri" w:eastAsia="Times New Roman" w:hAnsi="Calibri" w:cs="Times New Roman"/>
          <w:bCs/>
          <w:color w:val="000000"/>
        </w:rPr>
        <w:t>In Telangana, as per NFHS IV, the TFR is 1.8.</w:t>
      </w:r>
    </w:p>
    <w:p w:rsidR="00800FC5" w:rsidRPr="00854946" w:rsidRDefault="00800FC5" w:rsidP="00800FC5">
      <w:pPr>
        <w:pStyle w:val="ListParagraph"/>
        <w:jc w:val="both"/>
      </w:pPr>
    </w:p>
    <w:p w:rsidR="008F3751" w:rsidRDefault="008F3751" w:rsidP="008F3751">
      <w:pPr>
        <w:pStyle w:val="ListParagraph"/>
        <w:jc w:val="both"/>
        <w:rPr>
          <w:b/>
        </w:rPr>
      </w:pPr>
    </w:p>
    <w:tbl>
      <w:tblPr>
        <w:tblW w:w="3475" w:type="pct"/>
        <w:jc w:val="center"/>
        <w:tblInd w:w="2144" w:type="dxa"/>
        <w:tblLook w:val="04A0" w:firstRow="1" w:lastRow="0" w:firstColumn="1" w:lastColumn="0" w:noHBand="0" w:noVBand="1"/>
      </w:tblPr>
      <w:tblGrid>
        <w:gridCol w:w="2010"/>
        <w:gridCol w:w="2340"/>
        <w:gridCol w:w="2574"/>
      </w:tblGrid>
      <w:tr w:rsidR="00A82DE4" w:rsidRPr="00A82DE4" w:rsidTr="003930FF">
        <w:trPr>
          <w:trHeight w:val="457"/>
          <w:tblHeader/>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000000" w:fill="F2DCDB"/>
            <w:vAlign w:val="center"/>
            <w:hideMark/>
          </w:tcPr>
          <w:p w:rsidR="00A82DE4" w:rsidRPr="00A82DE4" w:rsidRDefault="00A82DE4" w:rsidP="00A82DE4">
            <w:pPr>
              <w:spacing w:after="0" w:line="240" w:lineRule="auto"/>
              <w:jc w:val="center"/>
              <w:rPr>
                <w:rFonts w:ascii="Arial" w:eastAsia="Times New Roman" w:hAnsi="Arial" w:cs="Arial"/>
                <w:b/>
                <w:bCs/>
                <w:sz w:val="18"/>
                <w:szCs w:val="18"/>
              </w:rPr>
            </w:pPr>
            <w:r w:rsidRPr="00A82DE4">
              <w:rPr>
                <w:rFonts w:ascii="Arial" w:eastAsia="Times New Roman" w:hAnsi="Arial" w:cs="Arial"/>
                <w:b/>
                <w:bCs/>
                <w:sz w:val="18"/>
                <w:szCs w:val="18"/>
              </w:rPr>
              <w:t>Total fertility rate (children per woman)</w:t>
            </w:r>
          </w:p>
        </w:tc>
      </w:tr>
      <w:tr w:rsidR="003930FF" w:rsidRPr="00A82DE4" w:rsidTr="003930FF">
        <w:trPr>
          <w:trHeight w:val="691"/>
          <w:tblHeader/>
          <w:jc w:val="center"/>
        </w:trPr>
        <w:tc>
          <w:tcPr>
            <w:tcW w:w="1451" w:type="pct"/>
            <w:tcBorders>
              <w:top w:val="nil"/>
              <w:left w:val="single" w:sz="8" w:space="0" w:color="auto"/>
              <w:bottom w:val="single" w:sz="8" w:space="0" w:color="auto"/>
              <w:right w:val="single" w:sz="8" w:space="0" w:color="auto"/>
            </w:tcBorders>
            <w:shd w:val="clear" w:color="000000" w:fill="D9D9D9"/>
            <w:noWrap/>
            <w:vAlign w:val="center"/>
            <w:hideMark/>
          </w:tcPr>
          <w:p w:rsidR="00A82DE4" w:rsidRPr="00A82DE4" w:rsidRDefault="00A82DE4" w:rsidP="00A82DE4">
            <w:pPr>
              <w:spacing w:after="0" w:line="240" w:lineRule="auto"/>
              <w:jc w:val="center"/>
              <w:rPr>
                <w:rFonts w:ascii="Calibri" w:eastAsia="Times New Roman" w:hAnsi="Calibri" w:cs="Times New Roman"/>
                <w:b/>
                <w:bCs/>
                <w:color w:val="000000"/>
              </w:rPr>
            </w:pPr>
            <w:r w:rsidRPr="00A82DE4">
              <w:rPr>
                <w:rFonts w:ascii="Calibri" w:eastAsia="Times New Roman" w:hAnsi="Calibri" w:cs="Times New Roman"/>
                <w:b/>
                <w:bCs/>
                <w:color w:val="000000"/>
              </w:rPr>
              <w:t>States</w:t>
            </w:r>
          </w:p>
        </w:tc>
        <w:tc>
          <w:tcPr>
            <w:tcW w:w="1690" w:type="pct"/>
            <w:tcBorders>
              <w:top w:val="nil"/>
              <w:left w:val="nil"/>
              <w:bottom w:val="single" w:sz="8" w:space="0" w:color="auto"/>
              <w:right w:val="single" w:sz="8" w:space="0" w:color="auto"/>
            </w:tcBorders>
            <w:shd w:val="clear" w:color="000000" w:fill="D9D9D9"/>
            <w:vAlign w:val="center"/>
            <w:hideMark/>
          </w:tcPr>
          <w:p w:rsidR="00A82DE4" w:rsidRPr="00A82DE4" w:rsidRDefault="00A82DE4" w:rsidP="00A82DE4">
            <w:pPr>
              <w:spacing w:after="0" w:line="240" w:lineRule="auto"/>
              <w:jc w:val="center"/>
              <w:rPr>
                <w:rFonts w:ascii="Calibri" w:eastAsia="Times New Roman" w:hAnsi="Calibri" w:cs="Times New Roman"/>
                <w:b/>
                <w:bCs/>
                <w:color w:val="000000"/>
              </w:rPr>
            </w:pPr>
            <w:r w:rsidRPr="00A82DE4">
              <w:rPr>
                <w:rFonts w:ascii="Calibri" w:eastAsia="Times New Roman" w:hAnsi="Calibri" w:cs="Times New Roman"/>
                <w:b/>
                <w:bCs/>
                <w:color w:val="000000"/>
              </w:rPr>
              <w:t xml:space="preserve"> NFHS IV (2015-16) </w:t>
            </w:r>
          </w:p>
        </w:tc>
        <w:tc>
          <w:tcPr>
            <w:tcW w:w="1859" w:type="pct"/>
            <w:tcBorders>
              <w:top w:val="nil"/>
              <w:left w:val="nil"/>
              <w:bottom w:val="single" w:sz="8" w:space="0" w:color="auto"/>
              <w:right w:val="single" w:sz="8" w:space="0" w:color="auto"/>
            </w:tcBorders>
            <w:shd w:val="clear" w:color="000000" w:fill="D9D9D9"/>
            <w:vAlign w:val="center"/>
            <w:hideMark/>
          </w:tcPr>
          <w:p w:rsidR="00A82DE4" w:rsidRPr="00A82DE4" w:rsidRDefault="00854946" w:rsidP="00A82DE4">
            <w:pPr>
              <w:spacing w:after="0" w:line="240" w:lineRule="auto"/>
              <w:jc w:val="center"/>
              <w:rPr>
                <w:rFonts w:ascii="Calibri" w:eastAsia="Times New Roman" w:hAnsi="Calibri" w:cs="Times New Roman"/>
                <w:b/>
                <w:bCs/>
                <w:color w:val="000000"/>
              </w:rPr>
            </w:pPr>
            <w:r w:rsidRPr="00A82DE4">
              <w:rPr>
                <w:rFonts w:ascii="Calibri" w:eastAsia="Times New Roman" w:hAnsi="Calibri" w:cs="Times New Roman"/>
                <w:b/>
                <w:bCs/>
                <w:color w:val="000000"/>
              </w:rPr>
              <w:t>Stati</w:t>
            </w:r>
            <w:r>
              <w:rPr>
                <w:rFonts w:ascii="Calibri" w:eastAsia="Times New Roman" w:hAnsi="Calibri" w:cs="Times New Roman"/>
                <w:b/>
                <w:bCs/>
                <w:color w:val="000000"/>
              </w:rPr>
              <w:t>sti</w:t>
            </w:r>
            <w:r w:rsidRPr="00A82DE4">
              <w:rPr>
                <w:rFonts w:ascii="Calibri" w:eastAsia="Times New Roman" w:hAnsi="Calibri" w:cs="Times New Roman"/>
                <w:b/>
                <w:bCs/>
                <w:color w:val="000000"/>
              </w:rPr>
              <w:t>cal</w:t>
            </w:r>
            <w:r w:rsidR="00A82DE4" w:rsidRPr="00A82DE4">
              <w:rPr>
                <w:rFonts w:ascii="Calibri" w:eastAsia="Times New Roman" w:hAnsi="Calibri" w:cs="Times New Roman"/>
                <w:b/>
                <w:bCs/>
                <w:color w:val="000000"/>
              </w:rPr>
              <w:t xml:space="preserve"> Report(RGI) 2013 </w:t>
            </w:r>
          </w:p>
        </w:tc>
      </w:tr>
      <w:tr w:rsidR="003930FF" w:rsidRPr="00A82DE4" w:rsidTr="003930FF">
        <w:trPr>
          <w:trHeight w:val="315"/>
          <w:jc w:val="center"/>
        </w:trPr>
        <w:tc>
          <w:tcPr>
            <w:tcW w:w="1451" w:type="pct"/>
            <w:tcBorders>
              <w:top w:val="nil"/>
              <w:left w:val="single" w:sz="8" w:space="0" w:color="auto"/>
              <w:bottom w:val="single" w:sz="8" w:space="0" w:color="auto"/>
              <w:right w:val="single" w:sz="8" w:space="0" w:color="auto"/>
            </w:tcBorders>
            <w:shd w:val="clear" w:color="000000" w:fill="FFFFFF"/>
            <w:vAlign w:val="center"/>
            <w:hideMark/>
          </w:tcPr>
          <w:p w:rsidR="00A82DE4" w:rsidRPr="00A82DE4" w:rsidRDefault="00A82DE4" w:rsidP="00A82DE4">
            <w:pPr>
              <w:spacing w:after="0" w:line="240" w:lineRule="auto"/>
              <w:rPr>
                <w:rFonts w:ascii="Calibri" w:eastAsia="Times New Roman" w:hAnsi="Calibri" w:cs="Times New Roman"/>
                <w:b/>
                <w:bCs/>
                <w:color w:val="000000"/>
              </w:rPr>
            </w:pPr>
            <w:r w:rsidRPr="00A82DE4">
              <w:rPr>
                <w:rFonts w:ascii="Calibri" w:eastAsia="Times New Roman" w:hAnsi="Calibri" w:cs="Times New Roman"/>
                <w:b/>
                <w:bCs/>
                <w:color w:val="000000"/>
              </w:rPr>
              <w:t xml:space="preserve"> Andhra Pradesh </w:t>
            </w:r>
          </w:p>
        </w:tc>
        <w:tc>
          <w:tcPr>
            <w:tcW w:w="1690" w:type="pct"/>
            <w:tcBorders>
              <w:top w:val="single" w:sz="8" w:space="0" w:color="auto"/>
              <w:left w:val="nil"/>
              <w:bottom w:val="single" w:sz="8" w:space="0" w:color="auto"/>
              <w:right w:val="single" w:sz="8" w:space="0" w:color="auto"/>
            </w:tcBorders>
            <w:shd w:val="clear" w:color="auto" w:fill="auto"/>
            <w:vAlign w:val="bottom"/>
            <w:hideMark/>
          </w:tcPr>
          <w:p w:rsidR="00A82DE4" w:rsidRPr="00A82DE4" w:rsidRDefault="00A82DE4" w:rsidP="00854946">
            <w:pPr>
              <w:spacing w:after="0" w:line="240" w:lineRule="auto"/>
              <w:jc w:val="right"/>
              <w:rPr>
                <w:rFonts w:ascii="Calibri" w:eastAsia="Times New Roman" w:hAnsi="Calibri" w:cs="Times New Roman"/>
                <w:b/>
                <w:bCs/>
                <w:color w:val="000000"/>
              </w:rPr>
            </w:pPr>
            <w:r w:rsidRPr="00A82DE4">
              <w:rPr>
                <w:rFonts w:ascii="Calibri" w:eastAsia="Times New Roman" w:hAnsi="Calibri" w:cs="Times New Roman"/>
                <w:b/>
                <w:bCs/>
                <w:color w:val="000000"/>
              </w:rPr>
              <w:t xml:space="preserve">                      1.8 </w:t>
            </w:r>
          </w:p>
        </w:tc>
        <w:tc>
          <w:tcPr>
            <w:tcW w:w="1859" w:type="pct"/>
            <w:tcBorders>
              <w:top w:val="single" w:sz="8" w:space="0" w:color="auto"/>
              <w:left w:val="single" w:sz="8" w:space="0" w:color="auto"/>
              <w:bottom w:val="single" w:sz="8" w:space="0" w:color="auto"/>
              <w:right w:val="single" w:sz="8" w:space="0" w:color="auto"/>
            </w:tcBorders>
            <w:shd w:val="clear" w:color="000000" w:fill="FFFFFF"/>
            <w:vAlign w:val="bottom"/>
            <w:hideMark/>
          </w:tcPr>
          <w:p w:rsidR="00A82DE4" w:rsidRPr="00A82DE4" w:rsidRDefault="00A82DE4" w:rsidP="00854946">
            <w:pPr>
              <w:spacing w:after="0" w:line="240" w:lineRule="auto"/>
              <w:jc w:val="right"/>
              <w:rPr>
                <w:rFonts w:ascii="Calibri" w:eastAsia="Times New Roman" w:hAnsi="Calibri" w:cs="Times New Roman"/>
                <w:b/>
                <w:bCs/>
                <w:color w:val="000000"/>
              </w:rPr>
            </w:pPr>
            <w:r w:rsidRPr="00A82DE4">
              <w:rPr>
                <w:rFonts w:ascii="Calibri" w:eastAsia="Times New Roman" w:hAnsi="Calibri" w:cs="Times New Roman"/>
                <w:b/>
                <w:bCs/>
                <w:color w:val="000000"/>
              </w:rPr>
              <w:t xml:space="preserve">                     1.8 </w:t>
            </w:r>
          </w:p>
        </w:tc>
      </w:tr>
      <w:tr w:rsidR="003930FF" w:rsidRPr="00A82DE4" w:rsidTr="003930FF">
        <w:trPr>
          <w:trHeight w:val="376"/>
          <w:jc w:val="center"/>
        </w:trPr>
        <w:tc>
          <w:tcPr>
            <w:tcW w:w="1451" w:type="pct"/>
            <w:tcBorders>
              <w:top w:val="nil"/>
              <w:left w:val="single" w:sz="8" w:space="0" w:color="auto"/>
              <w:bottom w:val="single" w:sz="8" w:space="0" w:color="auto"/>
              <w:right w:val="single" w:sz="8" w:space="0" w:color="auto"/>
            </w:tcBorders>
            <w:shd w:val="clear" w:color="000000" w:fill="FFFFFF"/>
            <w:vAlign w:val="center"/>
            <w:hideMark/>
          </w:tcPr>
          <w:p w:rsidR="00A82DE4" w:rsidRPr="00A82DE4" w:rsidRDefault="00A82DE4" w:rsidP="00A82DE4">
            <w:pPr>
              <w:spacing w:after="0" w:line="240" w:lineRule="auto"/>
              <w:rPr>
                <w:rFonts w:ascii="Calibri" w:eastAsia="Times New Roman" w:hAnsi="Calibri" w:cs="Times New Roman"/>
                <w:b/>
                <w:bCs/>
                <w:color w:val="000000"/>
              </w:rPr>
            </w:pPr>
            <w:r w:rsidRPr="00A82DE4">
              <w:rPr>
                <w:rFonts w:ascii="Calibri" w:eastAsia="Times New Roman" w:hAnsi="Calibri" w:cs="Times New Roman"/>
                <w:b/>
                <w:bCs/>
                <w:color w:val="000000"/>
              </w:rPr>
              <w:t xml:space="preserve"> Haryana </w:t>
            </w:r>
          </w:p>
        </w:tc>
        <w:tc>
          <w:tcPr>
            <w:tcW w:w="1690" w:type="pct"/>
            <w:tcBorders>
              <w:top w:val="single" w:sz="8" w:space="0" w:color="auto"/>
              <w:left w:val="nil"/>
              <w:bottom w:val="single" w:sz="8" w:space="0" w:color="auto"/>
              <w:right w:val="single" w:sz="8" w:space="0" w:color="auto"/>
            </w:tcBorders>
            <w:shd w:val="clear" w:color="auto" w:fill="auto"/>
            <w:vAlign w:val="bottom"/>
            <w:hideMark/>
          </w:tcPr>
          <w:p w:rsidR="00A82DE4" w:rsidRPr="00A82DE4" w:rsidRDefault="00A82DE4" w:rsidP="00854946">
            <w:pPr>
              <w:spacing w:after="0" w:line="240" w:lineRule="auto"/>
              <w:jc w:val="right"/>
              <w:rPr>
                <w:rFonts w:ascii="Calibri" w:eastAsia="Times New Roman" w:hAnsi="Calibri" w:cs="Times New Roman"/>
                <w:b/>
                <w:bCs/>
                <w:color w:val="000000"/>
              </w:rPr>
            </w:pPr>
            <w:r w:rsidRPr="00A82DE4">
              <w:rPr>
                <w:rFonts w:ascii="Calibri" w:eastAsia="Times New Roman" w:hAnsi="Calibri" w:cs="Times New Roman"/>
                <w:b/>
                <w:bCs/>
                <w:color w:val="000000"/>
              </w:rPr>
              <w:t xml:space="preserve">                      2.1 </w:t>
            </w:r>
          </w:p>
        </w:tc>
        <w:tc>
          <w:tcPr>
            <w:tcW w:w="1859" w:type="pct"/>
            <w:tcBorders>
              <w:top w:val="single" w:sz="8" w:space="0" w:color="auto"/>
              <w:left w:val="single" w:sz="8" w:space="0" w:color="auto"/>
              <w:bottom w:val="single" w:sz="8" w:space="0" w:color="auto"/>
              <w:right w:val="single" w:sz="8" w:space="0" w:color="auto"/>
            </w:tcBorders>
            <w:shd w:val="clear" w:color="000000" w:fill="FFFFFF"/>
            <w:vAlign w:val="bottom"/>
            <w:hideMark/>
          </w:tcPr>
          <w:p w:rsidR="00A82DE4" w:rsidRPr="00A82DE4" w:rsidRDefault="00A82DE4" w:rsidP="00854946">
            <w:pPr>
              <w:spacing w:after="0" w:line="240" w:lineRule="auto"/>
              <w:jc w:val="right"/>
              <w:rPr>
                <w:rFonts w:ascii="Calibri" w:eastAsia="Times New Roman" w:hAnsi="Calibri" w:cs="Times New Roman"/>
                <w:b/>
                <w:bCs/>
                <w:color w:val="000000"/>
              </w:rPr>
            </w:pPr>
            <w:r w:rsidRPr="00A82DE4">
              <w:rPr>
                <w:rFonts w:ascii="Calibri" w:eastAsia="Times New Roman" w:hAnsi="Calibri" w:cs="Times New Roman"/>
                <w:b/>
                <w:bCs/>
                <w:color w:val="000000"/>
              </w:rPr>
              <w:t xml:space="preserve">                     2.2 </w:t>
            </w:r>
          </w:p>
        </w:tc>
      </w:tr>
      <w:tr w:rsidR="003930FF" w:rsidRPr="00A82DE4" w:rsidTr="003930FF">
        <w:trPr>
          <w:trHeight w:val="315"/>
          <w:jc w:val="center"/>
        </w:trPr>
        <w:tc>
          <w:tcPr>
            <w:tcW w:w="1451" w:type="pct"/>
            <w:tcBorders>
              <w:top w:val="nil"/>
              <w:left w:val="single" w:sz="8" w:space="0" w:color="auto"/>
              <w:bottom w:val="single" w:sz="8" w:space="0" w:color="auto"/>
              <w:right w:val="single" w:sz="8" w:space="0" w:color="auto"/>
            </w:tcBorders>
            <w:shd w:val="clear" w:color="000000" w:fill="FFFFFF"/>
            <w:vAlign w:val="center"/>
            <w:hideMark/>
          </w:tcPr>
          <w:p w:rsidR="00A82DE4" w:rsidRPr="00A82DE4" w:rsidRDefault="00A82DE4" w:rsidP="00A82DE4">
            <w:pPr>
              <w:spacing w:after="0" w:line="240" w:lineRule="auto"/>
              <w:rPr>
                <w:rFonts w:ascii="Calibri" w:eastAsia="Times New Roman" w:hAnsi="Calibri" w:cs="Times New Roman"/>
                <w:b/>
                <w:bCs/>
                <w:color w:val="000000"/>
              </w:rPr>
            </w:pPr>
            <w:r w:rsidRPr="00A82DE4">
              <w:rPr>
                <w:rFonts w:ascii="Calibri" w:eastAsia="Times New Roman" w:hAnsi="Calibri" w:cs="Times New Roman"/>
                <w:b/>
                <w:bCs/>
                <w:color w:val="000000"/>
              </w:rPr>
              <w:lastRenderedPageBreak/>
              <w:t xml:space="preserve"> Karnataka </w:t>
            </w:r>
          </w:p>
        </w:tc>
        <w:tc>
          <w:tcPr>
            <w:tcW w:w="1690" w:type="pct"/>
            <w:tcBorders>
              <w:top w:val="single" w:sz="8" w:space="0" w:color="auto"/>
              <w:left w:val="nil"/>
              <w:bottom w:val="single" w:sz="8" w:space="0" w:color="auto"/>
              <w:right w:val="single" w:sz="8" w:space="0" w:color="auto"/>
            </w:tcBorders>
            <w:shd w:val="clear" w:color="auto" w:fill="auto"/>
            <w:vAlign w:val="bottom"/>
            <w:hideMark/>
          </w:tcPr>
          <w:p w:rsidR="00A82DE4" w:rsidRPr="00A82DE4" w:rsidRDefault="00A82DE4" w:rsidP="00854946">
            <w:pPr>
              <w:spacing w:after="0" w:line="240" w:lineRule="auto"/>
              <w:jc w:val="right"/>
              <w:rPr>
                <w:rFonts w:ascii="Calibri" w:eastAsia="Times New Roman" w:hAnsi="Calibri" w:cs="Times New Roman"/>
                <w:b/>
                <w:bCs/>
                <w:color w:val="000000"/>
              </w:rPr>
            </w:pPr>
            <w:r w:rsidRPr="00A82DE4">
              <w:rPr>
                <w:rFonts w:ascii="Calibri" w:eastAsia="Times New Roman" w:hAnsi="Calibri" w:cs="Times New Roman"/>
                <w:b/>
                <w:bCs/>
                <w:color w:val="000000"/>
              </w:rPr>
              <w:t xml:space="preserve">                      1.8 </w:t>
            </w:r>
          </w:p>
        </w:tc>
        <w:tc>
          <w:tcPr>
            <w:tcW w:w="1859" w:type="pct"/>
            <w:tcBorders>
              <w:top w:val="single" w:sz="8" w:space="0" w:color="auto"/>
              <w:left w:val="single" w:sz="8" w:space="0" w:color="auto"/>
              <w:bottom w:val="single" w:sz="8" w:space="0" w:color="auto"/>
              <w:right w:val="single" w:sz="8" w:space="0" w:color="auto"/>
            </w:tcBorders>
            <w:shd w:val="clear" w:color="000000" w:fill="FFFFFF"/>
            <w:vAlign w:val="bottom"/>
            <w:hideMark/>
          </w:tcPr>
          <w:p w:rsidR="00A82DE4" w:rsidRPr="00A82DE4" w:rsidRDefault="00A82DE4" w:rsidP="00854946">
            <w:pPr>
              <w:spacing w:after="0" w:line="240" w:lineRule="auto"/>
              <w:jc w:val="right"/>
              <w:rPr>
                <w:rFonts w:ascii="Calibri" w:eastAsia="Times New Roman" w:hAnsi="Calibri" w:cs="Times New Roman"/>
                <w:b/>
                <w:bCs/>
                <w:color w:val="000000"/>
              </w:rPr>
            </w:pPr>
            <w:r w:rsidRPr="00A82DE4">
              <w:rPr>
                <w:rFonts w:ascii="Calibri" w:eastAsia="Times New Roman" w:hAnsi="Calibri" w:cs="Times New Roman"/>
                <w:b/>
                <w:bCs/>
                <w:color w:val="000000"/>
              </w:rPr>
              <w:t xml:space="preserve">                     1.9 </w:t>
            </w:r>
          </w:p>
        </w:tc>
      </w:tr>
      <w:tr w:rsidR="003930FF" w:rsidRPr="00A82DE4" w:rsidTr="003930FF">
        <w:trPr>
          <w:trHeight w:val="315"/>
          <w:jc w:val="center"/>
        </w:trPr>
        <w:tc>
          <w:tcPr>
            <w:tcW w:w="1451" w:type="pct"/>
            <w:tcBorders>
              <w:top w:val="nil"/>
              <w:left w:val="single" w:sz="8" w:space="0" w:color="auto"/>
              <w:bottom w:val="single" w:sz="8" w:space="0" w:color="auto"/>
              <w:right w:val="single" w:sz="8" w:space="0" w:color="auto"/>
            </w:tcBorders>
            <w:shd w:val="clear" w:color="000000" w:fill="FFFFFF"/>
            <w:vAlign w:val="center"/>
            <w:hideMark/>
          </w:tcPr>
          <w:p w:rsidR="00A82DE4" w:rsidRPr="00A82DE4" w:rsidRDefault="00A82DE4" w:rsidP="00A82DE4">
            <w:pPr>
              <w:spacing w:after="0" w:line="240" w:lineRule="auto"/>
              <w:rPr>
                <w:rFonts w:ascii="Calibri" w:eastAsia="Times New Roman" w:hAnsi="Calibri" w:cs="Times New Roman"/>
                <w:b/>
                <w:bCs/>
                <w:color w:val="000000"/>
              </w:rPr>
            </w:pPr>
            <w:r w:rsidRPr="00A82DE4">
              <w:rPr>
                <w:rFonts w:ascii="Calibri" w:eastAsia="Times New Roman" w:hAnsi="Calibri" w:cs="Times New Roman"/>
                <w:b/>
                <w:bCs/>
                <w:color w:val="000000"/>
              </w:rPr>
              <w:t xml:space="preserve"> Maharashtra </w:t>
            </w:r>
          </w:p>
        </w:tc>
        <w:tc>
          <w:tcPr>
            <w:tcW w:w="1690" w:type="pct"/>
            <w:tcBorders>
              <w:top w:val="single" w:sz="8" w:space="0" w:color="auto"/>
              <w:left w:val="nil"/>
              <w:bottom w:val="single" w:sz="8" w:space="0" w:color="auto"/>
              <w:right w:val="single" w:sz="8" w:space="0" w:color="auto"/>
            </w:tcBorders>
            <w:shd w:val="clear" w:color="auto" w:fill="auto"/>
            <w:noWrap/>
            <w:vAlign w:val="bottom"/>
            <w:hideMark/>
          </w:tcPr>
          <w:p w:rsidR="00A82DE4" w:rsidRPr="00A82DE4" w:rsidRDefault="00A82DE4" w:rsidP="00854946">
            <w:pPr>
              <w:spacing w:after="0" w:line="240" w:lineRule="auto"/>
              <w:jc w:val="right"/>
              <w:rPr>
                <w:rFonts w:ascii="Calibri" w:eastAsia="Times New Roman" w:hAnsi="Calibri" w:cs="Times New Roman"/>
                <w:b/>
                <w:bCs/>
                <w:color w:val="000000"/>
              </w:rPr>
            </w:pPr>
            <w:r w:rsidRPr="00A82DE4">
              <w:rPr>
                <w:rFonts w:ascii="Calibri" w:eastAsia="Times New Roman" w:hAnsi="Calibri" w:cs="Times New Roman"/>
                <w:b/>
                <w:bCs/>
                <w:color w:val="000000"/>
              </w:rPr>
              <w:t>1.9</w:t>
            </w:r>
          </w:p>
        </w:tc>
        <w:tc>
          <w:tcPr>
            <w:tcW w:w="1859" w:type="pct"/>
            <w:tcBorders>
              <w:top w:val="single" w:sz="8" w:space="0" w:color="auto"/>
              <w:left w:val="single" w:sz="8" w:space="0" w:color="auto"/>
              <w:bottom w:val="single" w:sz="8" w:space="0" w:color="auto"/>
              <w:right w:val="single" w:sz="8" w:space="0" w:color="auto"/>
            </w:tcBorders>
            <w:shd w:val="clear" w:color="000000" w:fill="FFFFFF"/>
            <w:vAlign w:val="bottom"/>
            <w:hideMark/>
          </w:tcPr>
          <w:p w:rsidR="00A82DE4" w:rsidRPr="00A82DE4" w:rsidRDefault="00A82DE4" w:rsidP="00854946">
            <w:pPr>
              <w:spacing w:after="0" w:line="240" w:lineRule="auto"/>
              <w:jc w:val="right"/>
              <w:rPr>
                <w:rFonts w:ascii="Calibri" w:eastAsia="Times New Roman" w:hAnsi="Calibri" w:cs="Times New Roman"/>
                <w:b/>
                <w:bCs/>
                <w:color w:val="000000"/>
              </w:rPr>
            </w:pPr>
            <w:r w:rsidRPr="00A82DE4">
              <w:rPr>
                <w:rFonts w:ascii="Calibri" w:eastAsia="Times New Roman" w:hAnsi="Calibri" w:cs="Times New Roman"/>
                <w:b/>
                <w:bCs/>
                <w:color w:val="000000"/>
              </w:rPr>
              <w:t xml:space="preserve">                     1.8 </w:t>
            </w:r>
          </w:p>
        </w:tc>
      </w:tr>
      <w:tr w:rsidR="003930FF" w:rsidRPr="00A82DE4" w:rsidTr="003930FF">
        <w:trPr>
          <w:trHeight w:val="277"/>
          <w:jc w:val="center"/>
        </w:trPr>
        <w:tc>
          <w:tcPr>
            <w:tcW w:w="1451" w:type="pct"/>
            <w:tcBorders>
              <w:top w:val="nil"/>
              <w:left w:val="single" w:sz="8" w:space="0" w:color="auto"/>
              <w:bottom w:val="single" w:sz="8" w:space="0" w:color="auto"/>
              <w:right w:val="single" w:sz="8" w:space="0" w:color="auto"/>
            </w:tcBorders>
            <w:shd w:val="clear" w:color="000000" w:fill="FFFFFF"/>
            <w:vAlign w:val="center"/>
            <w:hideMark/>
          </w:tcPr>
          <w:p w:rsidR="00A82DE4" w:rsidRPr="00A82DE4" w:rsidRDefault="00A82DE4" w:rsidP="00A82DE4">
            <w:pPr>
              <w:spacing w:after="0" w:line="240" w:lineRule="auto"/>
              <w:rPr>
                <w:rFonts w:ascii="Calibri" w:eastAsia="Times New Roman" w:hAnsi="Calibri" w:cs="Times New Roman"/>
                <w:b/>
                <w:bCs/>
                <w:color w:val="000000"/>
              </w:rPr>
            </w:pPr>
            <w:r w:rsidRPr="00A82DE4">
              <w:rPr>
                <w:rFonts w:ascii="Calibri" w:eastAsia="Times New Roman" w:hAnsi="Calibri" w:cs="Times New Roman"/>
                <w:b/>
                <w:bCs/>
                <w:color w:val="000000"/>
              </w:rPr>
              <w:t>Tamil</w:t>
            </w:r>
            <w:r w:rsidR="003930FF">
              <w:rPr>
                <w:rFonts w:ascii="Calibri" w:eastAsia="Times New Roman" w:hAnsi="Calibri" w:cs="Times New Roman"/>
                <w:b/>
                <w:bCs/>
                <w:color w:val="000000"/>
              </w:rPr>
              <w:t xml:space="preserve"> N</w:t>
            </w:r>
            <w:r w:rsidRPr="00A82DE4">
              <w:rPr>
                <w:rFonts w:ascii="Calibri" w:eastAsia="Times New Roman" w:hAnsi="Calibri" w:cs="Times New Roman"/>
                <w:b/>
                <w:bCs/>
                <w:color w:val="000000"/>
              </w:rPr>
              <w:t>adu</w:t>
            </w:r>
          </w:p>
        </w:tc>
        <w:tc>
          <w:tcPr>
            <w:tcW w:w="1690" w:type="pct"/>
            <w:tcBorders>
              <w:top w:val="single" w:sz="8" w:space="0" w:color="auto"/>
              <w:left w:val="nil"/>
              <w:bottom w:val="single" w:sz="8" w:space="0" w:color="auto"/>
              <w:right w:val="single" w:sz="8" w:space="0" w:color="auto"/>
            </w:tcBorders>
            <w:shd w:val="clear" w:color="auto" w:fill="auto"/>
            <w:vAlign w:val="bottom"/>
            <w:hideMark/>
          </w:tcPr>
          <w:p w:rsidR="00A82DE4" w:rsidRPr="00A82DE4" w:rsidRDefault="00A82DE4" w:rsidP="00854946">
            <w:pPr>
              <w:spacing w:after="0" w:line="240" w:lineRule="auto"/>
              <w:jc w:val="right"/>
              <w:rPr>
                <w:rFonts w:ascii="Calibri" w:eastAsia="Times New Roman" w:hAnsi="Calibri" w:cs="Times New Roman"/>
                <w:b/>
                <w:bCs/>
                <w:color w:val="000000"/>
              </w:rPr>
            </w:pPr>
            <w:r w:rsidRPr="00A82DE4">
              <w:rPr>
                <w:rFonts w:ascii="Calibri" w:eastAsia="Times New Roman" w:hAnsi="Calibri" w:cs="Times New Roman"/>
                <w:b/>
                <w:bCs/>
                <w:color w:val="000000"/>
              </w:rPr>
              <w:t xml:space="preserve">                      1.7 </w:t>
            </w:r>
          </w:p>
        </w:tc>
        <w:tc>
          <w:tcPr>
            <w:tcW w:w="1859" w:type="pct"/>
            <w:tcBorders>
              <w:top w:val="single" w:sz="8" w:space="0" w:color="auto"/>
              <w:left w:val="single" w:sz="8" w:space="0" w:color="auto"/>
              <w:bottom w:val="single" w:sz="8" w:space="0" w:color="auto"/>
              <w:right w:val="single" w:sz="8" w:space="0" w:color="auto"/>
            </w:tcBorders>
            <w:shd w:val="clear" w:color="000000" w:fill="FFFFFF"/>
            <w:vAlign w:val="bottom"/>
            <w:hideMark/>
          </w:tcPr>
          <w:p w:rsidR="00A82DE4" w:rsidRPr="00A82DE4" w:rsidRDefault="00A82DE4" w:rsidP="00854946">
            <w:pPr>
              <w:spacing w:after="0" w:line="240" w:lineRule="auto"/>
              <w:jc w:val="right"/>
              <w:rPr>
                <w:rFonts w:ascii="Calibri" w:eastAsia="Times New Roman" w:hAnsi="Calibri" w:cs="Times New Roman"/>
                <w:b/>
                <w:bCs/>
                <w:color w:val="000000"/>
              </w:rPr>
            </w:pPr>
            <w:r w:rsidRPr="00A82DE4">
              <w:rPr>
                <w:rFonts w:ascii="Calibri" w:eastAsia="Times New Roman" w:hAnsi="Calibri" w:cs="Times New Roman"/>
                <w:b/>
                <w:bCs/>
                <w:color w:val="000000"/>
              </w:rPr>
              <w:t xml:space="preserve">                     1.7 </w:t>
            </w:r>
          </w:p>
        </w:tc>
      </w:tr>
      <w:tr w:rsidR="003930FF" w:rsidRPr="00A82DE4" w:rsidTr="003930FF">
        <w:trPr>
          <w:trHeight w:val="315"/>
          <w:jc w:val="center"/>
        </w:trPr>
        <w:tc>
          <w:tcPr>
            <w:tcW w:w="1451" w:type="pct"/>
            <w:tcBorders>
              <w:top w:val="nil"/>
              <w:left w:val="single" w:sz="8" w:space="0" w:color="auto"/>
              <w:bottom w:val="single" w:sz="8" w:space="0" w:color="auto"/>
              <w:right w:val="single" w:sz="8" w:space="0" w:color="auto"/>
            </w:tcBorders>
            <w:shd w:val="clear" w:color="000000" w:fill="FFFFFF"/>
            <w:vAlign w:val="center"/>
            <w:hideMark/>
          </w:tcPr>
          <w:p w:rsidR="00A82DE4" w:rsidRPr="00A82DE4" w:rsidRDefault="00A82DE4" w:rsidP="00A82DE4">
            <w:pPr>
              <w:spacing w:after="0" w:line="240" w:lineRule="auto"/>
              <w:rPr>
                <w:rFonts w:ascii="Calibri" w:eastAsia="Times New Roman" w:hAnsi="Calibri" w:cs="Times New Roman"/>
                <w:b/>
                <w:bCs/>
                <w:color w:val="000000"/>
              </w:rPr>
            </w:pPr>
            <w:r w:rsidRPr="00A82DE4">
              <w:rPr>
                <w:rFonts w:ascii="Calibri" w:eastAsia="Times New Roman" w:hAnsi="Calibri" w:cs="Times New Roman"/>
                <w:b/>
                <w:bCs/>
                <w:color w:val="000000"/>
              </w:rPr>
              <w:t xml:space="preserve"> Telangana </w:t>
            </w:r>
          </w:p>
        </w:tc>
        <w:tc>
          <w:tcPr>
            <w:tcW w:w="1690" w:type="pct"/>
            <w:tcBorders>
              <w:top w:val="single" w:sz="8" w:space="0" w:color="auto"/>
              <w:left w:val="nil"/>
              <w:bottom w:val="single" w:sz="8" w:space="0" w:color="auto"/>
              <w:right w:val="single" w:sz="8" w:space="0" w:color="auto"/>
            </w:tcBorders>
            <w:shd w:val="clear" w:color="auto" w:fill="auto"/>
            <w:noWrap/>
            <w:vAlign w:val="bottom"/>
            <w:hideMark/>
          </w:tcPr>
          <w:p w:rsidR="00A82DE4" w:rsidRPr="00A82DE4" w:rsidRDefault="00A82DE4" w:rsidP="00854946">
            <w:pPr>
              <w:spacing w:after="0" w:line="240" w:lineRule="auto"/>
              <w:jc w:val="right"/>
              <w:rPr>
                <w:rFonts w:ascii="Calibri" w:eastAsia="Times New Roman" w:hAnsi="Calibri" w:cs="Times New Roman"/>
                <w:b/>
                <w:bCs/>
                <w:color w:val="000000"/>
              </w:rPr>
            </w:pPr>
            <w:r w:rsidRPr="00A82DE4">
              <w:rPr>
                <w:rFonts w:ascii="Calibri" w:eastAsia="Times New Roman" w:hAnsi="Calibri" w:cs="Times New Roman"/>
                <w:b/>
                <w:bCs/>
                <w:color w:val="000000"/>
              </w:rPr>
              <w:t xml:space="preserve">                      1.8 </w:t>
            </w:r>
          </w:p>
        </w:tc>
        <w:tc>
          <w:tcPr>
            <w:tcW w:w="1859" w:type="pct"/>
            <w:tcBorders>
              <w:top w:val="single" w:sz="8" w:space="0" w:color="auto"/>
              <w:left w:val="single" w:sz="8" w:space="0" w:color="auto"/>
              <w:bottom w:val="single" w:sz="8" w:space="0" w:color="auto"/>
              <w:right w:val="single" w:sz="8" w:space="0" w:color="auto"/>
            </w:tcBorders>
            <w:shd w:val="clear" w:color="000000" w:fill="FFFFFF"/>
            <w:vAlign w:val="bottom"/>
            <w:hideMark/>
          </w:tcPr>
          <w:p w:rsidR="00A82DE4" w:rsidRPr="00A82DE4" w:rsidRDefault="002D235B" w:rsidP="00854946">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NA</w:t>
            </w:r>
          </w:p>
        </w:tc>
      </w:tr>
      <w:tr w:rsidR="003930FF" w:rsidRPr="00A82DE4" w:rsidTr="003930FF">
        <w:trPr>
          <w:trHeight w:val="315"/>
          <w:jc w:val="center"/>
        </w:trPr>
        <w:tc>
          <w:tcPr>
            <w:tcW w:w="1451" w:type="pct"/>
            <w:tcBorders>
              <w:top w:val="nil"/>
              <w:left w:val="single" w:sz="8" w:space="0" w:color="auto"/>
              <w:bottom w:val="single" w:sz="8" w:space="0" w:color="auto"/>
              <w:right w:val="single" w:sz="8" w:space="0" w:color="auto"/>
            </w:tcBorders>
            <w:shd w:val="clear" w:color="000000" w:fill="FFFFFF"/>
            <w:vAlign w:val="center"/>
            <w:hideMark/>
          </w:tcPr>
          <w:p w:rsidR="00A82DE4" w:rsidRPr="00A82DE4" w:rsidRDefault="00A82DE4" w:rsidP="00A82DE4">
            <w:pPr>
              <w:spacing w:after="0" w:line="240" w:lineRule="auto"/>
              <w:rPr>
                <w:rFonts w:ascii="Calibri" w:eastAsia="Times New Roman" w:hAnsi="Calibri" w:cs="Times New Roman"/>
                <w:b/>
                <w:bCs/>
                <w:color w:val="000000"/>
              </w:rPr>
            </w:pPr>
            <w:r w:rsidRPr="00A82DE4">
              <w:rPr>
                <w:rFonts w:ascii="Calibri" w:eastAsia="Times New Roman" w:hAnsi="Calibri" w:cs="Times New Roman"/>
                <w:b/>
                <w:bCs/>
                <w:color w:val="000000"/>
              </w:rPr>
              <w:t xml:space="preserve"> West Bengal </w:t>
            </w:r>
          </w:p>
        </w:tc>
        <w:tc>
          <w:tcPr>
            <w:tcW w:w="1690" w:type="pct"/>
            <w:tcBorders>
              <w:top w:val="single" w:sz="8" w:space="0" w:color="auto"/>
              <w:left w:val="nil"/>
              <w:bottom w:val="single" w:sz="8" w:space="0" w:color="auto"/>
              <w:right w:val="single" w:sz="8" w:space="0" w:color="auto"/>
            </w:tcBorders>
            <w:shd w:val="clear" w:color="auto" w:fill="auto"/>
            <w:noWrap/>
            <w:vAlign w:val="bottom"/>
            <w:hideMark/>
          </w:tcPr>
          <w:p w:rsidR="00A82DE4" w:rsidRPr="00A82DE4" w:rsidRDefault="00A82DE4" w:rsidP="00854946">
            <w:pPr>
              <w:spacing w:after="0" w:line="240" w:lineRule="auto"/>
              <w:jc w:val="right"/>
              <w:rPr>
                <w:rFonts w:ascii="Calibri" w:eastAsia="Times New Roman" w:hAnsi="Calibri" w:cs="Times New Roman"/>
                <w:b/>
                <w:bCs/>
                <w:color w:val="000000"/>
              </w:rPr>
            </w:pPr>
            <w:r w:rsidRPr="00A82DE4">
              <w:rPr>
                <w:rFonts w:ascii="Calibri" w:eastAsia="Times New Roman" w:hAnsi="Calibri" w:cs="Times New Roman"/>
                <w:b/>
                <w:bCs/>
                <w:color w:val="000000"/>
              </w:rPr>
              <w:t xml:space="preserve">                      1.8 </w:t>
            </w:r>
          </w:p>
        </w:tc>
        <w:tc>
          <w:tcPr>
            <w:tcW w:w="1859" w:type="pct"/>
            <w:tcBorders>
              <w:top w:val="single" w:sz="8" w:space="0" w:color="auto"/>
              <w:left w:val="single" w:sz="8" w:space="0" w:color="auto"/>
              <w:bottom w:val="single" w:sz="8" w:space="0" w:color="auto"/>
              <w:right w:val="single" w:sz="8" w:space="0" w:color="auto"/>
            </w:tcBorders>
            <w:shd w:val="clear" w:color="000000" w:fill="FFFFFF"/>
            <w:vAlign w:val="bottom"/>
            <w:hideMark/>
          </w:tcPr>
          <w:p w:rsidR="00A82DE4" w:rsidRPr="00A82DE4" w:rsidRDefault="00A82DE4" w:rsidP="00854946">
            <w:pPr>
              <w:spacing w:after="0" w:line="240" w:lineRule="auto"/>
              <w:jc w:val="right"/>
              <w:rPr>
                <w:rFonts w:ascii="Calibri" w:eastAsia="Times New Roman" w:hAnsi="Calibri" w:cs="Times New Roman"/>
                <w:b/>
                <w:bCs/>
                <w:color w:val="000000"/>
              </w:rPr>
            </w:pPr>
            <w:r w:rsidRPr="00A82DE4">
              <w:rPr>
                <w:rFonts w:ascii="Calibri" w:eastAsia="Times New Roman" w:hAnsi="Calibri" w:cs="Times New Roman"/>
                <w:b/>
                <w:bCs/>
                <w:color w:val="000000"/>
              </w:rPr>
              <w:t xml:space="preserve">                     1.6 </w:t>
            </w:r>
          </w:p>
        </w:tc>
      </w:tr>
    </w:tbl>
    <w:p w:rsidR="00A82DE4" w:rsidRDefault="00A82DE4" w:rsidP="008F3751">
      <w:pPr>
        <w:pStyle w:val="ListParagraph"/>
        <w:jc w:val="both"/>
        <w:rPr>
          <w:b/>
        </w:rPr>
      </w:pPr>
    </w:p>
    <w:p w:rsidR="008F3751" w:rsidRDefault="008F3751" w:rsidP="008F3751">
      <w:pPr>
        <w:pStyle w:val="ListParagraph"/>
        <w:jc w:val="both"/>
        <w:rPr>
          <w:b/>
        </w:rPr>
      </w:pPr>
    </w:p>
    <w:p w:rsidR="008F3751" w:rsidRPr="00BF7973" w:rsidRDefault="008F3751" w:rsidP="008F3751">
      <w:pPr>
        <w:pStyle w:val="ListParagraph"/>
        <w:jc w:val="both"/>
        <w:rPr>
          <w:b/>
        </w:rPr>
      </w:pPr>
    </w:p>
    <w:p w:rsidR="00335087" w:rsidRPr="00854946" w:rsidRDefault="008F3751" w:rsidP="00335087">
      <w:pPr>
        <w:pStyle w:val="ListParagraph"/>
        <w:numPr>
          <w:ilvl w:val="0"/>
          <w:numId w:val="2"/>
        </w:numPr>
        <w:jc w:val="both"/>
      </w:pPr>
      <w:r w:rsidRPr="00335087">
        <w:rPr>
          <w:b/>
        </w:rPr>
        <w:t>Infant Mortality Rate (IMR)</w:t>
      </w:r>
      <w:r w:rsidR="002D235B">
        <w:rPr>
          <w:b/>
        </w:rPr>
        <w:t xml:space="preserve"> </w:t>
      </w:r>
      <w:r w:rsidRPr="00335087">
        <w:rPr>
          <w:b/>
          <w:bCs/>
        </w:rPr>
        <w:t>( Graph 3</w:t>
      </w:r>
      <w:r w:rsidR="004B6E93">
        <w:rPr>
          <w:b/>
          <w:bCs/>
        </w:rPr>
        <w:t xml:space="preserve"> </w:t>
      </w:r>
      <w:r w:rsidRPr="00335087">
        <w:rPr>
          <w:b/>
          <w:bCs/>
        </w:rPr>
        <w:t>)</w:t>
      </w:r>
      <w:r w:rsidR="004B6E93">
        <w:rPr>
          <w:b/>
          <w:bCs/>
        </w:rPr>
        <w:t xml:space="preserve"> </w:t>
      </w:r>
      <w:r w:rsidRPr="00335087">
        <w:rPr>
          <w:b/>
          <w:bCs/>
        </w:rPr>
        <w:t xml:space="preserve">: </w:t>
      </w:r>
      <w:r w:rsidR="00335087" w:rsidRPr="002D235B">
        <w:rPr>
          <w:bCs/>
        </w:rPr>
        <w:t>This data is not available for Andhra Pradesh and Telangana in NFHS III. As per NFHS IV</w:t>
      </w:r>
      <w:r w:rsidR="0038247B">
        <w:rPr>
          <w:bCs/>
        </w:rPr>
        <w:t>,</w:t>
      </w:r>
      <w:r w:rsidR="00335087" w:rsidRPr="002D235B">
        <w:rPr>
          <w:bCs/>
        </w:rPr>
        <w:t xml:space="preserve"> IMR for Andhra Pradesh is</w:t>
      </w:r>
      <w:r w:rsidR="0038247B">
        <w:rPr>
          <w:bCs/>
        </w:rPr>
        <w:t xml:space="preserve"> </w:t>
      </w:r>
      <w:r w:rsidR="00335087" w:rsidRPr="002D235B">
        <w:rPr>
          <w:bCs/>
        </w:rPr>
        <w:t>35</w:t>
      </w:r>
      <w:r w:rsidR="0038247B">
        <w:rPr>
          <w:bCs/>
        </w:rPr>
        <w:t xml:space="preserve"> per 1000 live births</w:t>
      </w:r>
      <w:r w:rsidR="00335087" w:rsidRPr="002D235B">
        <w:rPr>
          <w:bCs/>
        </w:rPr>
        <w:t xml:space="preserve">. It is 39 as per </w:t>
      </w:r>
      <w:r w:rsidR="00335087" w:rsidRPr="002D235B">
        <w:rPr>
          <w:rFonts w:ascii="Calibri" w:eastAsia="Times New Roman" w:hAnsi="Calibri" w:cs="Times New Roman"/>
          <w:bCs/>
          <w:color w:val="000000"/>
        </w:rPr>
        <w:t>Statistical Report</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(RGI) 2013. In Haryana</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the IMR has gone down from 41</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 NFHS</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III</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 to 33</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NFHS</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IV)</w:t>
      </w:r>
      <w:r w:rsidR="0038247B">
        <w:rPr>
          <w:rFonts w:ascii="Calibri" w:eastAsia="Times New Roman" w:hAnsi="Calibri" w:cs="Times New Roman"/>
          <w:bCs/>
          <w:color w:val="000000"/>
        </w:rPr>
        <w:t xml:space="preserve"> and a</w:t>
      </w:r>
      <w:r w:rsidR="00335087" w:rsidRPr="002D235B">
        <w:rPr>
          <w:rFonts w:ascii="Calibri" w:eastAsia="Times New Roman" w:hAnsi="Calibri" w:cs="Times New Roman"/>
          <w:bCs/>
          <w:color w:val="000000"/>
        </w:rPr>
        <w:t>s per Statistical Report</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 xml:space="preserve">(RGI) 2013, </w:t>
      </w:r>
      <w:r w:rsidR="0038247B">
        <w:rPr>
          <w:rFonts w:ascii="Calibri" w:eastAsia="Times New Roman" w:hAnsi="Calibri" w:cs="Times New Roman"/>
          <w:bCs/>
          <w:color w:val="000000"/>
        </w:rPr>
        <w:t>IMR</w:t>
      </w:r>
      <w:r w:rsidR="00335087" w:rsidRPr="002D235B">
        <w:rPr>
          <w:rFonts w:ascii="Calibri" w:eastAsia="Times New Roman" w:hAnsi="Calibri" w:cs="Times New Roman"/>
          <w:bCs/>
          <w:color w:val="000000"/>
        </w:rPr>
        <w:t xml:space="preserve"> is 41 in Haryana. In Karnataka</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 xml:space="preserve">the IMR has gone down from </w:t>
      </w:r>
      <w:r w:rsidR="00296DC6" w:rsidRPr="002D235B">
        <w:rPr>
          <w:rFonts w:ascii="Calibri" w:eastAsia="Times New Roman" w:hAnsi="Calibri" w:cs="Times New Roman"/>
          <w:bCs/>
          <w:color w:val="000000"/>
        </w:rPr>
        <w:t>43</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NFHS</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III</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 xml:space="preserve">) to </w:t>
      </w:r>
      <w:r w:rsidR="00296DC6" w:rsidRPr="002D235B">
        <w:rPr>
          <w:rFonts w:ascii="Calibri" w:eastAsia="Times New Roman" w:hAnsi="Calibri" w:cs="Times New Roman"/>
          <w:bCs/>
          <w:color w:val="000000"/>
        </w:rPr>
        <w:t>28</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NFHS</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IV</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 As per Statistical Report</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 xml:space="preserve">(RGI) 2013, </w:t>
      </w:r>
      <w:r w:rsidR="0038247B">
        <w:rPr>
          <w:rFonts w:ascii="Calibri" w:eastAsia="Times New Roman" w:hAnsi="Calibri" w:cs="Times New Roman"/>
          <w:bCs/>
          <w:color w:val="000000"/>
        </w:rPr>
        <w:t>IMR</w:t>
      </w:r>
      <w:r w:rsidR="00335087" w:rsidRPr="002D235B">
        <w:rPr>
          <w:rFonts w:ascii="Calibri" w:eastAsia="Times New Roman" w:hAnsi="Calibri" w:cs="Times New Roman"/>
          <w:bCs/>
          <w:color w:val="000000"/>
        </w:rPr>
        <w:t xml:space="preserve"> is </w:t>
      </w:r>
      <w:r w:rsidR="00296DC6" w:rsidRPr="002D235B">
        <w:rPr>
          <w:rFonts w:ascii="Calibri" w:eastAsia="Times New Roman" w:hAnsi="Calibri" w:cs="Times New Roman"/>
          <w:bCs/>
          <w:color w:val="000000"/>
        </w:rPr>
        <w:t>31</w:t>
      </w:r>
      <w:r w:rsidR="00335087" w:rsidRPr="002D235B">
        <w:rPr>
          <w:rFonts w:ascii="Calibri" w:eastAsia="Times New Roman" w:hAnsi="Calibri" w:cs="Times New Roman"/>
          <w:bCs/>
          <w:color w:val="000000"/>
        </w:rPr>
        <w:t xml:space="preserve"> in Karnataka. In Maharashtra</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 xml:space="preserve">the IMR has gone down from </w:t>
      </w:r>
      <w:r w:rsidR="00296DC6" w:rsidRPr="002D235B">
        <w:rPr>
          <w:rFonts w:ascii="Calibri" w:eastAsia="Times New Roman" w:hAnsi="Calibri" w:cs="Times New Roman"/>
          <w:bCs/>
          <w:color w:val="000000"/>
        </w:rPr>
        <w:t>37</w:t>
      </w:r>
      <w:r w:rsidR="0038247B">
        <w:rPr>
          <w:rFonts w:ascii="Calibri" w:eastAsia="Times New Roman" w:hAnsi="Calibri" w:cs="Times New Roman"/>
          <w:bCs/>
          <w:color w:val="000000"/>
        </w:rPr>
        <w:t xml:space="preserve"> </w:t>
      </w:r>
      <w:r w:rsidR="00296DC6" w:rsidRPr="002D235B">
        <w:rPr>
          <w:rFonts w:ascii="Calibri" w:eastAsia="Times New Roman" w:hAnsi="Calibri" w:cs="Times New Roman"/>
          <w:bCs/>
          <w:color w:val="000000"/>
        </w:rPr>
        <w:t>(</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NFHS</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III</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 xml:space="preserve">) to </w:t>
      </w:r>
      <w:r w:rsidR="00296DC6" w:rsidRPr="002D235B">
        <w:rPr>
          <w:rFonts w:ascii="Calibri" w:eastAsia="Times New Roman" w:hAnsi="Calibri" w:cs="Times New Roman"/>
          <w:bCs/>
          <w:color w:val="000000"/>
        </w:rPr>
        <w:t>24</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NFHS</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IV</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 As per Statistical Report</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(RGI) 2013,</w:t>
      </w:r>
      <w:r w:rsidR="0038247B">
        <w:rPr>
          <w:rFonts w:ascii="Calibri" w:eastAsia="Times New Roman" w:hAnsi="Calibri" w:cs="Times New Roman"/>
          <w:bCs/>
          <w:color w:val="000000"/>
        </w:rPr>
        <w:t xml:space="preserve"> IMR</w:t>
      </w:r>
      <w:r w:rsidR="00335087" w:rsidRPr="002D235B">
        <w:rPr>
          <w:rFonts w:ascii="Calibri" w:eastAsia="Times New Roman" w:hAnsi="Calibri" w:cs="Times New Roman"/>
          <w:bCs/>
          <w:color w:val="000000"/>
        </w:rPr>
        <w:t xml:space="preserve"> is </w:t>
      </w:r>
      <w:r w:rsidR="00296DC6" w:rsidRPr="002D235B">
        <w:rPr>
          <w:rFonts w:ascii="Calibri" w:eastAsia="Times New Roman" w:hAnsi="Calibri" w:cs="Times New Roman"/>
          <w:bCs/>
          <w:color w:val="000000"/>
        </w:rPr>
        <w:t>24</w:t>
      </w:r>
      <w:r w:rsidR="00335087" w:rsidRPr="002D235B">
        <w:rPr>
          <w:rFonts w:ascii="Calibri" w:eastAsia="Times New Roman" w:hAnsi="Calibri" w:cs="Times New Roman"/>
          <w:bCs/>
          <w:color w:val="000000"/>
        </w:rPr>
        <w:t xml:space="preserve"> in Maharashtra. In Tamil Nadu</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 xml:space="preserve">the IMR has gone down from </w:t>
      </w:r>
      <w:r w:rsidR="00296DC6" w:rsidRPr="002D235B">
        <w:rPr>
          <w:rFonts w:ascii="Calibri" w:eastAsia="Times New Roman" w:hAnsi="Calibri" w:cs="Times New Roman"/>
          <w:bCs/>
          <w:color w:val="000000"/>
        </w:rPr>
        <w:t>30</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NFHS</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III</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 xml:space="preserve">) to </w:t>
      </w:r>
      <w:r w:rsidR="00296DC6" w:rsidRPr="002D235B">
        <w:rPr>
          <w:rFonts w:ascii="Calibri" w:eastAsia="Times New Roman" w:hAnsi="Calibri" w:cs="Times New Roman"/>
          <w:bCs/>
          <w:color w:val="000000"/>
        </w:rPr>
        <w:t>21</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(NFHS</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 xml:space="preserve">IV). As per Statistical Report (RGI) 2013, </w:t>
      </w:r>
      <w:r w:rsidR="0038247B">
        <w:rPr>
          <w:rFonts w:ascii="Calibri" w:eastAsia="Times New Roman" w:hAnsi="Calibri" w:cs="Times New Roman"/>
          <w:bCs/>
          <w:color w:val="000000"/>
        </w:rPr>
        <w:t>IMR</w:t>
      </w:r>
      <w:r w:rsidR="00335087" w:rsidRPr="002D235B">
        <w:rPr>
          <w:rFonts w:ascii="Calibri" w:eastAsia="Times New Roman" w:hAnsi="Calibri" w:cs="Times New Roman"/>
          <w:bCs/>
          <w:color w:val="000000"/>
        </w:rPr>
        <w:t xml:space="preserve"> is same, </w:t>
      </w:r>
      <w:r w:rsidR="00296DC6" w:rsidRPr="002D235B">
        <w:rPr>
          <w:rFonts w:ascii="Calibri" w:eastAsia="Times New Roman" w:hAnsi="Calibri" w:cs="Times New Roman"/>
          <w:bCs/>
          <w:color w:val="000000"/>
        </w:rPr>
        <w:t>21</w:t>
      </w:r>
      <w:r w:rsidR="00335087" w:rsidRPr="002D235B">
        <w:rPr>
          <w:rFonts w:ascii="Calibri" w:eastAsia="Times New Roman" w:hAnsi="Calibri" w:cs="Times New Roman"/>
          <w:bCs/>
          <w:color w:val="000000"/>
        </w:rPr>
        <w:t xml:space="preserve"> in TN</w:t>
      </w:r>
      <w:r w:rsidR="0038247B">
        <w:rPr>
          <w:rFonts w:ascii="Calibri" w:eastAsia="Times New Roman" w:hAnsi="Calibri" w:cs="Times New Roman"/>
          <w:bCs/>
          <w:color w:val="000000"/>
        </w:rPr>
        <w:t>.</w:t>
      </w:r>
      <w:r w:rsidR="00335087" w:rsidRPr="002D235B">
        <w:rPr>
          <w:rFonts w:ascii="Calibri" w:eastAsia="Times New Roman" w:hAnsi="Calibri" w:cs="Times New Roman"/>
          <w:bCs/>
          <w:color w:val="000000"/>
        </w:rPr>
        <w:t xml:space="preserve"> In West </w:t>
      </w:r>
      <w:r w:rsidR="00296DC6" w:rsidRPr="002D235B">
        <w:rPr>
          <w:rFonts w:ascii="Calibri" w:eastAsia="Times New Roman" w:hAnsi="Calibri" w:cs="Times New Roman"/>
          <w:bCs/>
          <w:color w:val="000000"/>
        </w:rPr>
        <w:t>Bengal the</w:t>
      </w:r>
      <w:r w:rsidR="00335087" w:rsidRPr="002D235B">
        <w:rPr>
          <w:rFonts w:ascii="Calibri" w:eastAsia="Times New Roman" w:hAnsi="Calibri" w:cs="Times New Roman"/>
          <w:bCs/>
          <w:color w:val="000000"/>
        </w:rPr>
        <w:t xml:space="preserve"> IMR has gone down from </w:t>
      </w:r>
      <w:r w:rsidR="00296DC6" w:rsidRPr="002D235B">
        <w:rPr>
          <w:rFonts w:ascii="Calibri" w:eastAsia="Times New Roman" w:hAnsi="Calibri" w:cs="Times New Roman"/>
          <w:bCs/>
          <w:color w:val="000000"/>
        </w:rPr>
        <w:t>48</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 NFHS</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III</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 xml:space="preserve">) to </w:t>
      </w:r>
      <w:r w:rsidR="00296DC6" w:rsidRPr="002D235B">
        <w:rPr>
          <w:rFonts w:ascii="Calibri" w:eastAsia="Times New Roman" w:hAnsi="Calibri" w:cs="Times New Roman"/>
          <w:bCs/>
          <w:color w:val="000000"/>
        </w:rPr>
        <w:t>27</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NFHS</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IV</w:t>
      </w:r>
      <w:r w:rsidR="0038247B">
        <w:rPr>
          <w:rFonts w:ascii="Calibri" w:eastAsia="Times New Roman" w:hAnsi="Calibri" w:cs="Times New Roman"/>
          <w:bCs/>
          <w:color w:val="000000"/>
        </w:rPr>
        <w:t xml:space="preserve"> </w:t>
      </w:r>
      <w:r w:rsidR="00335087" w:rsidRPr="002D235B">
        <w:rPr>
          <w:rFonts w:ascii="Calibri" w:eastAsia="Times New Roman" w:hAnsi="Calibri" w:cs="Times New Roman"/>
          <w:bCs/>
          <w:color w:val="000000"/>
        </w:rPr>
        <w:t xml:space="preserve">). As per Statistical Report (RGI) 2013, </w:t>
      </w:r>
      <w:r w:rsidR="0038247B">
        <w:rPr>
          <w:rFonts w:ascii="Calibri" w:eastAsia="Times New Roman" w:hAnsi="Calibri" w:cs="Times New Roman"/>
          <w:bCs/>
          <w:color w:val="000000"/>
        </w:rPr>
        <w:t>IMR</w:t>
      </w:r>
      <w:r w:rsidR="00335087" w:rsidRPr="002D235B">
        <w:rPr>
          <w:rFonts w:ascii="Calibri" w:eastAsia="Times New Roman" w:hAnsi="Calibri" w:cs="Times New Roman"/>
          <w:bCs/>
          <w:color w:val="000000"/>
        </w:rPr>
        <w:t xml:space="preserve"> is </w:t>
      </w:r>
      <w:r w:rsidR="00296DC6" w:rsidRPr="002D235B">
        <w:rPr>
          <w:rFonts w:ascii="Calibri" w:eastAsia="Times New Roman" w:hAnsi="Calibri" w:cs="Times New Roman"/>
          <w:bCs/>
          <w:color w:val="000000"/>
        </w:rPr>
        <w:t>31</w:t>
      </w:r>
      <w:r w:rsidR="00335087" w:rsidRPr="002D235B">
        <w:rPr>
          <w:rFonts w:ascii="Calibri" w:eastAsia="Times New Roman" w:hAnsi="Calibri" w:cs="Times New Roman"/>
          <w:bCs/>
          <w:color w:val="000000"/>
        </w:rPr>
        <w:t xml:space="preserve"> in WB</w:t>
      </w:r>
      <w:r w:rsidR="00335087" w:rsidRPr="00335087">
        <w:rPr>
          <w:rFonts w:ascii="Calibri" w:eastAsia="Times New Roman" w:hAnsi="Calibri" w:cs="Times New Roman"/>
          <w:bCs/>
          <w:color w:val="000000"/>
        </w:rPr>
        <w:t>.</w:t>
      </w:r>
      <w:r w:rsidR="0038247B">
        <w:rPr>
          <w:rFonts w:ascii="Calibri" w:eastAsia="Times New Roman" w:hAnsi="Calibri" w:cs="Times New Roman"/>
          <w:bCs/>
          <w:color w:val="000000"/>
        </w:rPr>
        <w:t xml:space="preserve"> </w:t>
      </w:r>
      <w:r w:rsidR="0038247B" w:rsidRPr="002D235B">
        <w:rPr>
          <w:rFonts w:ascii="Calibri" w:eastAsia="Times New Roman" w:hAnsi="Calibri" w:cs="Times New Roman"/>
          <w:bCs/>
          <w:color w:val="000000"/>
        </w:rPr>
        <w:t>In Telangana, as per NFHS IV, the IMR is 28</w:t>
      </w:r>
      <w:r w:rsidR="0038247B">
        <w:rPr>
          <w:rFonts w:ascii="Calibri" w:eastAsia="Times New Roman" w:hAnsi="Calibri" w:cs="Times New Roman"/>
          <w:bCs/>
          <w:color w:val="000000"/>
        </w:rPr>
        <w:t xml:space="preserve"> per 1000 live births</w:t>
      </w:r>
      <w:r w:rsidR="0038247B" w:rsidRPr="002D235B">
        <w:rPr>
          <w:rFonts w:ascii="Calibri" w:eastAsia="Times New Roman" w:hAnsi="Calibri" w:cs="Times New Roman"/>
          <w:bCs/>
          <w:color w:val="000000"/>
        </w:rPr>
        <w:t>.</w:t>
      </w:r>
    </w:p>
    <w:p w:rsidR="008F3751" w:rsidRPr="0048073F" w:rsidRDefault="008F3751" w:rsidP="00335087">
      <w:pPr>
        <w:pStyle w:val="ListParagraph"/>
        <w:jc w:val="both"/>
        <w:rPr>
          <w:b/>
        </w:rPr>
      </w:pPr>
    </w:p>
    <w:p w:rsidR="008F3751" w:rsidRDefault="008F3751" w:rsidP="008F3751">
      <w:pPr>
        <w:pStyle w:val="ListParagraph"/>
        <w:jc w:val="both"/>
        <w:rPr>
          <w:b/>
        </w:rPr>
      </w:pPr>
    </w:p>
    <w:tbl>
      <w:tblPr>
        <w:tblW w:w="3487" w:type="pct"/>
        <w:jc w:val="center"/>
        <w:tblInd w:w="2880" w:type="dxa"/>
        <w:tblLook w:val="04A0" w:firstRow="1" w:lastRow="0" w:firstColumn="1" w:lastColumn="0" w:noHBand="0" w:noVBand="1"/>
      </w:tblPr>
      <w:tblGrid>
        <w:gridCol w:w="2021"/>
        <w:gridCol w:w="2337"/>
        <w:gridCol w:w="2590"/>
      </w:tblGrid>
      <w:tr w:rsidR="00335087" w:rsidRPr="002D235B" w:rsidTr="002D235B">
        <w:trPr>
          <w:trHeight w:val="439"/>
          <w:jc w:val="center"/>
        </w:trPr>
        <w:tc>
          <w:tcPr>
            <w:tcW w:w="5000" w:type="pct"/>
            <w:gridSpan w:val="3"/>
            <w:tcBorders>
              <w:top w:val="single" w:sz="8" w:space="0" w:color="auto"/>
              <w:left w:val="single" w:sz="8" w:space="0" w:color="auto"/>
              <w:bottom w:val="single" w:sz="12" w:space="0" w:color="auto"/>
              <w:right w:val="single" w:sz="8" w:space="0" w:color="000000"/>
            </w:tcBorders>
            <w:shd w:val="clear" w:color="000000" w:fill="F2DCDB"/>
            <w:vAlign w:val="center"/>
            <w:hideMark/>
          </w:tcPr>
          <w:p w:rsidR="00335087" w:rsidRPr="002D235B" w:rsidRDefault="00335087" w:rsidP="00335087">
            <w:pPr>
              <w:spacing w:after="0" w:line="240" w:lineRule="auto"/>
              <w:jc w:val="center"/>
              <w:rPr>
                <w:rFonts w:ascii="Arial" w:eastAsia="Times New Roman" w:hAnsi="Arial" w:cs="Arial"/>
                <w:b/>
                <w:bCs/>
                <w:sz w:val="18"/>
                <w:szCs w:val="18"/>
              </w:rPr>
            </w:pPr>
            <w:r w:rsidRPr="002D235B">
              <w:rPr>
                <w:rFonts w:ascii="Arial" w:eastAsia="Times New Roman" w:hAnsi="Arial" w:cs="Arial"/>
                <w:b/>
                <w:bCs/>
                <w:sz w:val="18"/>
                <w:szCs w:val="18"/>
              </w:rPr>
              <w:t>Infant Mortality Rate</w:t>
            </w:r>
          </w:p>
        </w:tc>
      </w:tr>
      <w:tr w:rsidR="00335087" w:rsidRPr="002D235B" w:rsidTr="002D235B">
        <w:trPr>
          <w:trHeight w:val="429"/>
          <w:jc w:val="center"/>
        </w:trPr>
        <w:tc>
          <w:tcPr>
            <w:tcW w:w="1454" w:type="pct"/>
            <w:tcBorders>
              <w:top w:val="single" w:sz="12" w:space="0" w:color="auto"/>
              <w:left w:val="single" w:sz="8" w:space="0" w:color="auto"/>
              <w:bottom w:val="single" w:sz="12" w:space="0" w:color="auto"/>
              <w:right w:val="single" w:sz="8" w:space="0" w:color="auto"/>
            </w:tcBorders>
            <w:shd w:val="clear" w:color="000000" w:fill="D9D9D9"/>
            <w:noWrap/>
            <w:vAlign w:val="center"/>
            <w:hideMark/>
          </w:tcPr>
          <w:p w:rsidR="00335087" w:rsidRPr="002D235B" w:rsidRDefault="00335087" w:rsidP="00335087">
            <w:pPr>
              <w:spacing w:after="0" w:line="240" w:lineRule="auto"/>
              <w:jc w:val="center"/>
              <w:rPr>
                <w:rFonts w:ascii="Calibri" w:eastAsia="Times New Roman" w:hAnsi="Calibri" w:cs="Times New Roman"/>
                <w:b/>
                <w:bCs/>
                <w:color w:val="000000"/>
              </w:rPr>
            </w:pPr>
            <w:r w:rsidRPr="002D235B">
              <w:rPr>
                <w:rFonts w:ascii="Calibri" w:eastAsia="Times New Roman" w:hAnsi="Calibri" w:cs="Times New Roman"/>
                <w:b/>
                <w:bCs/>
                <w:color w:val="000000"/>
              </w:rPr>
              <w:t>State</w:t>
            </w:r>
          </w:p>
        </w:tc>
        <w:tc>
          <w:tcPr>
            <w:tcW w:w="1682" w:type="pct"/>
            <w:tcBorders>
              <w:top w:val="single" w:sz="12" w:space="0" w:color="auto"/>
              <w:left w:val="nil"/>
              <w:bottom w:val="single" w:sz="12" w:space="0" w:color="auto"/>
              <w:right w:val="single" w:sz="8" w:space="0" w:color="auto"/>
            </w:tcBorders>
            <w:shd w:val="clear" w:color="000000" w:fill="D9D9D9"/>
            <w:vAlign w:val="center"/>
            <w:hideMark/>
          </w:tcPr>
          <w:p w:rsidR="00335087" w:rsidRPr="002D235B" w:rsidRDefault="00335087" w:rsidP="00335087">
            <w:pPr>
              <w:spacing w:after="0" w:line="240" w:lineRule="auto"/>
              <w:jc w:val="center"/>
              <w:rPr>
                <w:rFonts w:ascii="Calibri" w:eastAsia="Times New Roman" w:hAnsi="Calibri" w:cs="Times New Roman"/>
                <w:b/>
                <w:bCs/>
                <w:color w:val="000000"/>
              </w:rPr>
            </w:pPr>
            <w:r w:rsidRPr="002D235B">
              <w:rPr>
                <w:rFonts w:ascii="Calibri" w:eastAsia="Times New Roman" w:hAnsi="Calibri" w:cs="Times New Roman"/>
                <w:b/>
                <w:bCs/>
                <w:color w:val="000000"/>
              </w:rPr>
              <w:t xml:space="preserve"> NFHS IV (2015-16) </w:t>
            </w:r>
          </w:p>
        </w:tc>
        <w:tc>
          <w:tcPr>
            <w:tcW w:w="1863" w:type="pct"/>
            <w:tcBorders>
              <w:top w:val="single" w:sz="12" w:space="0" w:color="auto"/>
              <w:left w:val="nil"/>
              <w:bottom w:val="single" w:sz="12" w:space="0" w:color="auto"/>
              <w:right w:val="single" w:sz="8" w:space="0" w:color="auto"/>
            </w:tcBorders>
            <w:shd w:val="clear" w:color="000000" w:fill="D9D9D9"/>
            <w:vAlign w:val="center"/>
            <w:hideMark/>
          </w:tcPr>
          <w:p w:rsidR="00335087" w:rsidRPr="002D235B" w:rsidRDefault="00335087" w:rsidP="00335087">
            <w:pPr>
              <w:spacing w:after="0" w:line="240" w:lineRule="auto"/>
              <w:jc w:val="center"/>
              <w:rPr>
                <w:rFonts w:ascii="Calibri" w:eastAsia="Times New Roman" w:hAnsi="Calibri" w:cs="Times New Roman"/>
                <w:b/>
                <w:bCs/>
                <w:color w:val="000000"/>
              </w:rPr>
            </w:pPr>
            <w:r w:rsidRPr="002D235B">
              <w:rPr>
                <w:rFonts w:ascii="Calibri" w:eastAsia="Times New Roman" w:hAnsi="Calibri" w:cs="Times New Roman"/>
                <w:b/>
                <w:bCs/>
                <w:color w:val="000000"/>
              </w:rPr>
              <w:t xml:space="preserve"> SRS 2013 </w:t>
            </w:r>
          </w:p>
        </w:tc>
      </w:tr>
      <w:tr w:rsidR="00335087" w:rsidRPr="002D235B" w:rsidTr="002D235B">
        <w:trPr>
          <w:trHeight w:val="315"/>
          <w:jc w:val="center"/>
        </w:trPr>
        <w:tc>
          <w:tcPr>
            <w:tcW w:w="1454" w:type="pct"/>
            <w:tcBorders>
              <w:top w:val="single" w:sz="12" w:space="0" w:color="auto"/>
              <w:left w:val="single" w:sz="8" w:space="0" w:color="auto"/>
              <w:bottom w:val="single" w:sz="12" w:space="0" w:color="auto"/>
              <w:right w:val="single" w:sz="8" w:space="0" w:color="auto"/>
            </w:tcBorders>
            <w:shd w:val="clear" w:color="000000" w:fill="FFFFFF"/>
            <w:vAlign w:val="center"/>
            <w:hideMark/>
          </w:tcPr>
          <w:p w:rsidR="00335087" w:rsidRPr="002D235B" w:rsidRDefault="00335087" w:rsidP="00335087">
            <w:pPr>
              <w:spacing w:after="0" w:line="240" w:lineRule="auto"/>
              <w:rPr>
                <w:rFonts w:ascii="Calibri" w:eastAsia="Times New Roman" w:hAnsi="Calibri" w:cs="Times New Roman"/>
                <w:b/>
                <w:bCs/>
                <w:color w:val="000000"/>
              </w:rPr>
            </w:pPr>
            <w:r w:rsidRPr="002D235B">
              <w:rPr>
                <w:rFonts w:ascii="Calibri" w:eastAsia="Times New Roman" w:hAnsi="Calibri" w:cs="Times New Roman"/>
                <w:b/>
                <w:bCs/>
                <w:color w:val="000000"/>
              </w:rPr>
              <w:t xml:space="preserve"> Andhra Pradesh </w:t>
            </w:r>
          </w:p>
        </w:tc>
        <w:tc>
          <w:tcPr>
            <w:tcW w:w="1682" w:type="pct"/>
            <w:tcBorders>
              <w:top w:val="single" w:sz="12" w:space="0" w:color="auto"/>
              <w:left w:val="nil"/>
              <w:bottom w:val="single" w:sz="12" w:space="0" w:color="auto"/>
              <w:right w:val="single" w:sz="4" w:space="0" w:color="auto"/>
            </w:tcBorders>
            <w:shd w:val="clear" w:color="auto" w:fill="auto"/>
            <w:vAlign w:val="bottom"/>
            <w:hideMark/>
          </w:tcPr>
          <w:p w:rsidR="00335087" w:rsidRPr="002D235B" w:rsidRDefault="00335087" w:rsidP="00335087">
            <w:pPr>
              <w:spacing w:after="0" w:line="240" w:lineRule="auto"/>
              <w:jc w:val="right"/>
              <w:rPr>
                <w:rFonts w:ascii="Calibri" w:eastAsia="Times New Roman" w:hAnsi="Calibri" w:cs="Times New Roman"/>
                <w:b/>
                <w:color w:val="000000"/>
              </w:rPr>
            </w:pPr>
            <w:r w:rsidRPr="002D235B">
              <w:rPr>
                <w:rFonts w:ascii="Calibri" w:eastAsia="Times New Roman" w:hAnsi="Calibri" w:cs="Times New Roman"/>
                <w:b/>
                <w:color w:val="000000"/>
              </w:rPr>
              <w:t xml:space="preserve">               35.0 </w:t>
            </w:r>
          </w:p>
        </w:tc>
        <w:tc>
          <w:tcPr>
            <w:tcW w:w="1863" w:type="pct"/>
            <w:tcBorders>
              <w:top w:val="single" w:sz="12" w:space="0" w:color="auto"/>
              <w:left w:val="nil"/>
              <w:bottom w:val="single" w:sz="12" w:space="0" w:color="auto"/>
              <w:right w:val="single" w:sz="8" w:space="0" w:color="auto"/>
            </w:tcBorders>
            <w:shd w:val="clear" w:color="000000" w:fill="FFFFFF"/>
            <w:vAlign w:val="bottom"/>
            <w:hideMark/>
          </w:tcPr>
          <w:p w:rsidR="00335087" w:rsidRPr="002D235B" w:rsidRDefault="00335087" w:rsidP="00335087">
            <w:pPr>
              <w:spacing w:after="0" w:line="240" w:lineRule="auto"/>
              <w:jc w:val="right"/>
              <w:rPr>
                <w:rFonts w:ascii="Calibri" w:eastAsia="Times New Roman" w:hAnsi="Calibri" w:cs="Times New Roman"/>
                <w:b/>
                <w:bCs/>
                <w:color w:val="000000"/>
              </w:rPr>
            </w:pPr>
            <w:r w:rsidRPr="002D235B">
              <w:rPr>
                <w:rFonts w:ascii="Calibri" w:eastAsia="Times New Roman" w:hAnsi="Calibri" w:cs="Times New Roman"/>
                <w:b/>
                <w:bCs/>
                <w:color w:val="000000"/>
              </w:rPr>
              <w:t>39.0</w:t>
            </w:r>
          </w:p>
        </w:tc>
      </w:tr>
      <w:tr w:rsidR="00335087" w:rsidRPr="002D235B" w:rsidTr="002D235B">
        <w:trPr>
          <w:trHeight w:val="330"/>
          <w:jc w:val="center"/>
        </w:trPr>
        <w:tc>
          <w:tcPr>
            <w:tcW w:w="1454" w:type="pct"/>
            <w:tcBorders>
              <w:top w:val="single" w:sz="12" w:space="0" w:color="auto"/>
              <w:left w:val="single" w:sz="8" w:space="0" w:color="auto"/>
              <w:bottom w:val="single" w:sz="12" w:space="0" w:color="auto"/>
              <w:right w:val="single" w:sz="8" w:space="0" w:color="auto"/>
            </w:tcBorders>
            <w:shd w:val="clear" w:color="000000" w:fill="FFFFFF"/>
            <w:vAlign w:val="center"/>
            <w:hideMark/>
          </w:tcPr>
          <w:p w:rsidR="00335087" w:rsidRPr="002D235B" w:rsidRDefault="00335087" w:rsidP="00335087">
            <w:pPr>
              <w:spacing w:after="0" w:line="240" w:lineRule="auto"/>
              <w:rPr>
                <w:rFonts w:ascii="Calibri" w:eastAsia="Times New Roman" w:hAnsi="Calibri" w:cs="Times New Roman"/>
                <w:b/>
                <w:bCs/>
                <w:color w:val="000000"/>
              </w:rPr>
            </w:pPr>
            <w:r w:rsidRPr="002D235B">
              <w:rPr>
                <w:rFonts w:ascii="Calibri" w:eastAsia="Times New Roman" w:hAnsi="Calibri" w:cs="Times New Roman"/>
                <w:b/>
                <w:bCs/>
                <w:color w:val="000000"/>
              </w:rPr>
              <w:t xml:space="preserve"> Haryana </w:t>
            </w:r>
          </w:p>
        </w:tc>
        <w:tc>
          <w:tcPr>
            <w:tcW w:w="1682" w:type="pct"/>
            <w:tcBorders>
              <w:top w:val="single" w:sz="12" w:space="0" w:color="auto"/>
              <w:left w:val="nil"/>
              <w:bottom w:val="single" w:sz="12" w:space="0" w:color="auto"/>
              <w:right w:val="single" w:sz="4" w:space="0" w:color="auto"/>
            </w:tcBorders>
            <w:shd w:val="clear" w:color="auto" w:fill="auto"/>
            <w:vAlign w:val="bottom"/>
            <w:hideMark/>
          </w:tcPr>
          <w:p w:rsidR="00335087" w:rsidRPr="002D235B" w:rsidRDefault="00335087" w:rsidP="00335087">
            <w:pPr>
              <w:spacing w:after="0" w:line="240" w:lineRule="auto"/>
              <w:jc w:val="right"/>
              <w:rPr>
                <w:rFonts w:ascii="Calibri" w:eastAsia="Times New Roman" w:hAnsi="Calibri" w:cs="Times New Roman"/>
                <w:b/>
                <w:color w:val="000000"/>
              </w:rPr>
            </w:pPr>
            <w:r w:rsidRPr="002D235B">
              <w:rPr>
                <w:rFonts w:ascii="Calibri" w:eastAsia="Times New Roman" w:hAnsi="Calibri" w:cs="Times New Roman"/>
                <w:b/>
                <w:color w:val="000000"/>
              </w:rPr>
              <w:t xml:space="preserve">               33.0 </w:t>
            </w:r>
          </w:p>
        </w:tc>
        <w:tc>
          <w:tcPr>
            <w:tcW w:w="1863" w:type="pct"/>
            <w:tcBorders>
              <w:top w:val="single" w:sz="12" w:space="0" w:color="auto"/>
              <w:left w:val="single" w:sz="8" w:space="0" w:color="auto"/>
              <w:bottom w:val="single" w:sz="12" w:space="0" w:color="auto"/>
              <w:right w:val="single" w:sz="8" w:space="0" w:color="auto"/>
            </w:tcBorders>
            <w:shd w:val="clear" w:color="000000" w:fill="FFFFFF"/>
            <w:vAlign w:val="bottom"/>
            <w:hideMark/>
          </w:tcPr>
          <w:p w:rsidR="00335087" w:rsidRPr="002D235B" w:rsidRDefault="00335087" w:rsidP="00335087">
            <w:pPr>
              <w:spacing w:after="0" w:line="240" w:lineRule="auto"/>
              <w:jc w:val="right"/>
              <w:rPr>
                <w:rFonts w:ascii="Calibri" w:eastAsia="Times New Roman" w:hAnsi="Calibri" w:cs="Times New Roman"/>
                <w:b/>
                <w:bCs/>
                <w:color w:val="000000"/>
              </w:rPr>
            </w:pPr>
            <w:r w:rsidRPr="002D235B">
              <w:rPr>
                <w:rFonts w:ascii="Calibri" w:eastAsia="Times New Roman" w:hAnsi="Calibri" w:cs="Times New Roman"/>
                <w:b/>
                <w:bCs/>
                <w:color w:val="000000"/>
              </w:rPr>
              <w:t>41.0</w:t>
            </w:r>
          </w:p>
        </w:tc>
      </w:tr>
      <w:tr w:rsidR="00335087" w:rsidRPr="002D235B" w:rsidTr="002D235B">
        <w:trPr>
          <w:trHeight w:val="315"/>
          <w:jc w:val="center"/>
        </w:trPr>
        <w:tc>
          <w:tcPr>
            <w:tcW w:w="1454" w:type="pct"/>
            <w:tcBorders>
              <w:top w:val="single" w:sz="12" w:space="0" w:color="auto"/>
              <w:left w:val="single" w:sz="8" w:space="0" w:color="auto"/>
              <w:bottom w:val="single" w:sz="12" w:space="0" w:color="auto"/>
              <w:right w:val="single" w:sz="8" w:space="0" w:color="auto"/>
            </w:tcBorders>
            <w:shd w:val="clear" w:color="000000" w:fill="FFFFFF"/>
            <w:vAlign w:val="center"/>
            <w:hideMark/>
          </w:tcPr>
          <w:p w:rsidR="00335087" w:rsidRPr="002D235B" w:rsidRDefault="00335087" w:rsidP="00335087">
            <w:pPr>
              <w:spacing w:after="0" w:line="240" w:lineRule="auto"/>
              <w:rPr>
                <w:rFonts w:ascii="Calibri" w:eastAsia="Times New Roman" w:hAnsi="Calibri" w:cs="Times New Roman"/>
                <w:b/>
                <w:bCs/>
                <w:color w:val="000000"/>
              </w:rPr>
            </w:pPr>
            <w:r w:rsidRPr="002D235B">
              <w:rPr>
                <w:rFonts w:ascii="Calibri" w:eastAsia="Times New Roman" w:hAnsi="Calibri" w:cs="Times New Roman"/>
                <w:b/>
                <w:bCs/>
                <w:color w:val="000000"/>
              </w:rPr>
              <w:t xml:space="preserve"> Karnataka </w:t>
            </w:r>
          </w:p>
        </w:tc>
        <w:tc>
          <w:tcPr>
            <w:tcW w:w="1682" w:type="pct"/>
            <w:tcBorders>
              <w:top w:val="single" w:sz="12" w:space="0" w:color="auto"/>
              <w:left w:val="nil"/>
              <w:bottom w:val="single" w:sz="12" w:space="0" w:color="auto"/>
              <w:right w:val="single" w:sz="4" w:space="0" w:color="auto"/>
            </w:tcBorders>
            <w:shd w:val="clear" w:color="auto" w:fill="auto"/>
            <w:vAlign w:val="bottom"/>
            <w:hideMark/>
          </w:tcPr>
          <w:p w:rsidR="00335087" w:rsidRPr="002D235B" w:rsidRDefault="00335087" w:rsidP="00335087">
            <w:pPr>
              <w:spacing w:after="0" w:line="240" w:lineRule="auto"/>
              <w:jc w:val="right"/>
              <w:rPr>
                <w:rFonts w:ascii="Calibri" w:eastAsia="Times New Roman" w:hAnsi="Calibri" w:cs="Times New Roman"/>
                <w:b/>
                <w:color w:val="000000"/>
              </w:rPr>
            </w:pPr>
            <w:r w:rsidRPr="002D235B">
              <w:rPr>
                <w:rFonts w:ascii="Calibri" w:eastAsia="Times New Roman" w:hAnsi="Calibri" w:cs="Times New Roman"/>
                <w:b/>
                <w:color w:val="000000"/>
              </w:rPr>
              <w:t xml:space="preserve">               28.0 </w:t>
            </w:r>
          </w:p>
        </w:tc>
        <w:tc>
          <w:tcPr>
            <w:tcW w:w="1863" w:type="pct"/>
            <w:tcBorders>
              <w:top w:val="single" w:sz="12" w:space="0" w:color="auto"/>
              <w:left w:val="single" w:sz="8" w:space="0" w:color="auto"/>
              <w:bottom w:val="single" w:sz="12" w:space="0" w:color="auto"/>
              <w:right w:val="single" w:sz="8" w:space="0" w:color="auto"/>
            </w:tcBorders>
            <w:shd w:val="clear" w:color="000000" w:fill="FFFFFF"/>
            <w:vAlign w:val="bottom"/>
            <w:hideMark/>
          </w:tcPr>
          <w:p w:rsidR="00335087" w:rsidRPr="002D235B" w:rsidRDefault="00335087" w:rsidP="00335087">
            <w:pPr>
              <w:spacing w:after="0" w:line="240" w:lineRule="auto"/>
              <w:jc w:val="right"/>
              <w:rPr>
                <w:rFonts w:ascii="Calibri" w:eastAsia="Times New Roman" w:hAnsi="Calibri" w:cs="Times New Roman"/>
                <w:b/>
                <w:bCs/>
                <w:color w:val="000000"/>
              </w:rPr>
            </w:pPr>
            <w:r w:rsidRPr="002D235B">
              <w:rPr>
                <w:rFonts w:ascii="Calibri" w:eastAsia="Times New Roman" w:hAnsi="Calibri" w:cs="Times New Roman"/>
                <w:b/>
                <w:bCs/>
                <w:color w:val="000000"/>
              </w:rPr>
              <w:t>31.0</w:t>
            </w:r>
          </w:p>
        </w:tc>
      </w:tr>
      <w:tr w:rsidR="00335087" w:rsidRPr="002D235B" w:rsidTr="002D235B">
        <w:trPr>
          <w:trHeight w:val="315"/>
          <w:jc w:val="center"/>
        </w:trPr>
        <w:tc>
          <w:tcPr>
            <w:tcW w:w="1454" w:type="pct"/>
            <w:tcBorders>
              <w:top w:val="single" w:sz="12" w:space="0" w:color="auto"/>
              <w:left w:val="single" w:sz="8" w:space="0" w:color="auto"/>
              <w:bottom w:val="single" w:sz="12" w:space="0" w:color="auto"/>
              <w:right w:val="single" w:sz="8" w:space="0" w:color="auto"/>
            </w:tcBorders>
            <w:shd w:val="clear" w:color="000000" w:fill="FFFFFF"/>
            <w:vAlign w:val="center"/>
            <w:hideMark/>
          </w:tcPr>
          <w:p w:rsidR="00335087" w:rsidRPr="002D235B" w:rsidRDefault="00335087" w:rsidP="00335087">
            <w:pPr>
              <w:spacing w:after="0" w:line="240" w:lineRule="auto"/>
              <w:rPr>
                <w:rFonts w:ascii="Calibri" w:eastAsia="Times New Roman" w:hAnsi="Calibri" w:cs="Times New Roman"/>
                <w:b/>
                <w:bCs/>
                <w:color w:val="000000"/>
              </w:rPr>
            </w:pPr>
            <w:r w:rsidRPr="002D235B">
              <w:rPr>
                <w:rFonts w:ascii="Calibri" w:eastAsia="Times New Roman" w:hAnsi="Calibri" w:cs="Times New Roman"/>
                <w:b/>
                <w:bCs/>
                <w:color w:val="000000"/>
              </w:rPr>
              <w:t xml:space="preserve"> Maharashtra </w:t>
            </w:r>
          </w:p>
        </w:tc>
        <w:tc>
          <w:tcPr>
            <w:tcW w:w="1682" w:type="pct"/>
            <w:tcBorders>
              <w:top w:val="single" w:sz="12" w:space="0" w:color="auto"/>
              <w:left w:val="nil"/>
              <w:bottom w:val="single" w:sz="12" w:space="0" w:color="auto"/>
              <w:right w:val="single" w:sz="4" w:space="0" w:color="auto"/>
            </w:tcBorders>
            <w:shd w:val="clear" w:color="auto" w:fill="auto"/>
            <w:noWrap/>
            <w:vAlign w:val="bottom"/>
            <w:hideMark/>
          </w:tcPr>
          <w:p w:rsidR="00335087" w:rsidRPr="002D235B" w:rsidRDefault="00335087" w:rsidP="00335087">
            <w:pPr>
              <w:spacing w:after="0" w:line="240" w:lineRule="auto"/>
              <w:jc w:val="right"/>
              <w:rPr>
                <w:rFonts w:ascii="Calibri" w:eastAsia="Times New Roman" w:hAnsi="Calibri" w:cs="Times New Roman"/>
                <w:b/>
                <w:color w:val="000000"/>
              </w:rPr>
            </w:pPr>
            <w:r w:rsidRPr="002D235B">
              <w:rPr>
                <w:rFonts w:ascii="Calibri" w:eastAsia="Times New Roman" w:hAnsi="Calibri" w:cs="Times New Roman"/>
                <w:b/>
                <w:color w:val="000000"/>
              </w:rPr>
              <w:t>24.0</w:t>
            </w:r>
          </w:p>
        </w:tc>
        <w:tc>
          <w:tcPr>
            <w:tcW w:w="1863" w:type="pct"/>
            <w:tcBorders>
              <w:top w:val="single" w:sz="12" w:space="0" w:color="auto"/>
              <w:left w:val="nil"/>
              <w:bottom w:val="single" w:sz="12" w:space="0" w:color="auto"/>
              <w:right w:val="single" w:sz="8" w:space="0" w:color="auto"/>
            </w:tcBorders>
            <w:shd w:val="clear" w:color="000000" w:fill="FFFFFF"/>
            <w:vAlign w:val="bottom"/>
            <w:hideMark/>
          </w:tcPr>
          <w:p w:rsidR="00335087" w:rsidRPr="002D235B" w:rsidRDefault="00335087" w:rsidP="00335087">
            <w:pPr>
              <w:spacing w:after="0" w:line="240" w:lineRule="auto"/>
              <w:jc w:val="right"/>
              <w:rPr>
                <w:rFonts w:ascii="Calibri" w:eastAsia="Times New Roman" w:hAnsi="Calibri" w:cs="Times New Roman"/>
                <w:b/>
                <w:bCs/>
                <w:color w:val="000000"/>
              </w:rPr>
            </w:pPr>
            <w:r w:rsidRPr="002D235B">
              <w:rPr>
                <w:rFonts w:ascii="Calibri" w:eastAsia="Times New Roman" w:hAnsi="Calibri" w:cs="Times New Roman"/>
                <w:b/>
                <w:bCs/>
                <w:color w:val="000000"/>
              </w:rPr>
              <w:t>24.0</w:t>
            </w:r>
          </w:p>
        </w:tc>
      </w:tr>
      <w:tr w:rsidR="00335087" w:rsidRPr="002D235B" w:rsidTr="002D235B">
        <w:trPr>
          <w:trHeight w:val="285"/>
          <w:jc w:val="center"/>
        </w:trPr>
        <w:tc>
          <w:tcPr>
            <w:tcW w:w="1454" w:type="pct"/>
            <w:tcBorders>
              <w:top w:val="single" w:sz="12" w:space="0" w:color="auto"/>
              <w:left w:val="single" w:sz="8" w:space="0" w:color="auto"/>
              <w:bottom w:val="single" w:sz="12" w:space="0" w:color="auto"/>
              <w:right w:val="single" w:sz="8" w:space="0" w:color="auto"/>
            </w:tcBorders>
            <w:shd w:val="clear" w:color="000000" w:fill="FFFFFF"/>
            <w:vAlign w:val="center"/>
            <w:hideMark/>
          </w:tcPr>
          <w:p w:rsidR="00335087" w:rsidRPr="002D235B" w:rsidRDefault="00335087" w:rsidP="00335087">
            <w:pPr>
              <w:spacing w:after="0" w:line="240" w:lineRule="auto"/>
              <w:rPr>
                <w:rFonts w:ascii="Calibri" w:eastAsia="Times New Roman" w:hAnsi="Calibri" w:cs="Times New Roman"/>
                <w:b/>
                <w:bCs/>
                <w:color w:val="000000"/>
              </w:rPr>
            </w:pPr>
            <w:r w:rsidRPr="002D235B">
              <w:rPr>
                <w:rFonts w:ascii="Calibri" w:eastAsia="Times New Roman" w:hAnsi="Calibri" w:cs="Times New Roman"/>
                <w:b/>
                <w:bCs/>
                <w:color w:val="000000"/>
              </w:rPr>
              <w:t>Tamil</w:t>
            </w:r>
            <w:r w:rsidR="002D235B" w:rsidRPr="002D235B">
              <w:rPr>
                <w:rFonts w:ascii="Calibri" w:eastAsia="Times New Roman" w:hAnsi="Calibri" w:cs="Times New Roman"/>
                <w:b/>
                <w:bCs/>
                <w:color w:val="000000"/>
              </w:rPr>
              <w:t xml:space="preserve"> N</w:t>
            </w:r>
            <w:r w:rsidRPr="002D235B">
              <w:rPr>
                <w:rFonts w:ascii="Calibri" w:eastAsia="Times New Roman" w:hAnsi="Calibri" w:cs="Times New Roman"/>
                <w:b/>
                <w:bCs/>
                <w:color w:val="000000"/>
              </w:rPr>
              <w:t>adu</w:t>
            </w:r>
          </w:p>
        </w:tc>
        <w:tc>
          <w:tcPr>
            <w:tcW w:w="1682" w:type="pct"/>
            <w:tcBorders>
              <w:top w:val="single" w:sz="12" w:space="0" w:color="auto"/>
              <w:left w:val="nil"/>
              <w:bottom w:val="single" w:sz="12" w:space="0" w:color="auto"/>
              <w:right w:val="single" w:sz="4" w:space="0" w:color="auto"/>
            </w:tcBorders>
            <w:shd w:val="clear" w:color="auto" w:fill="auto"/>
            <w:vAlign w:val="bottom"/>
            <w:hideMark/>
          </w:tcPr>
          <w:p w:rsidR="00335087" w:rsidRPr="002D235B" w:rsidRDefault="00335087" w:rsidP="00335087">
            <w:pPr>
              <w:spacing w:after="0" w:line="240" w:lineRule="auto"/>
              <w:jc w:val="right"/>
              <w:rPr>
                <w:rFonts w:ascii="Calibri" w:eastAsia="Times New Roman" w:hAnsi="Calibri" w:cs="Times New Roman"/>
                <w:b/>
                <w:color w:val="000000"/>
              </w:rPr>
            </w:pPr>
            <w:r w:rsidRPr="002D235B">
              <w:rPr>
                <w:rFonts w:ascii="Calibri" w:eastAsia="Times New Roman" w:hAnsi="Calibri" w:cs="Times New Roman"/>
                <w:b/>
                <w:color w:val="000000"/>
              </w:rPr>
              <w:t xml:space="preserve">               21.0 </w:t>
            </w:r>
          </w:p>
        </w:tc>
        <w:tc>
          <w:tcPr>
            <w:tcW w:w="1863" w:type="pct"/>
            <w:tcBorders>
              <w:top w:val="single" w:sz="12" w:space="0" w:color="auto"/>
              <w:left w:val="single" w:sz="8" w:space="0" w:color="auto"/>
              <w:bottom w:val="single" w:sz="12" w:space="0" w:color="auto"/>
              <w:right w:val="single" w:sz="8" w:space="0" w:color="auto"/>
            </w:tcBorders>
            <w:shd w:val="clear" w:color="000000" w:fill="FFFFFF"/>
            <w:vAlign w:val="bottom"/>
            <w:hideMark/>
          </w:tcPr>
          <w:p w:rsidR="00335087" w:rsidRPr="002D235B" w:rsidRDefault="00335087" w:rsidP="00335087">
            <w:pPr>
              <w:spacing w:after="0" w:line="240" w:lineRule="auto"/>
              <w:jc w:val="right"/>
              <w:rPr>
                <w:rFonts w:ascii="Calibri" w:eastAsia="Times New Roman" w:hAnsi="Calibri" w:cs="Times New Roman"/>
                <w:b/>
                <w:bCs/>
                <w:color w:val="000000"/>
              </w:rPr>
            </w:pPr>
            <w:r w:rsidRPr="002D235B">
              <w:rPr>
                <w:rFonts w:ascii="Calibri" w:eastAsia="Times New Roman" w:hAnsi="Calibri" w:cs="Times New Roman"/>
                <w:b/>
                <w:bCs/>
                <w:color w:val="000000"/>
              </w:rPr>
              <w:t>21.0</w:t>
            </w:r>
          </w:p>
        </w:tc>
      </w:tr>
      <w:tr w:rsidR="00335087" w:rsidRPr="002D235B" w:rsidTr="002D235B">
        <w:trPr>
          <w:trHeight w:val="315"/>
          <w:jc w:val="center"/>
        </w:trPr>
        <w:tc>
          <w:tcPr>
            <w:tcW w:w="1454" w:type="pct"/>
            <w:tcBorders>
              <w:top w:val="single" w:sz="12" w:space="0" w:color="auto"/>
              <w:left w:val="single" w:sz="8" w:space="0" w:color="auto"/>
              <w:bottom w:val="single" w:sz="12" w:space="0" w:color="auto"/>
              <w:right w:val="single" w:sz="8" w:space="0" w:color="auto"/>
            </w:tcBorders>
            <w:shd w:val="clear" w:color="000000" w:fill="FFFFFF"/>
            <w:vAlign w:val="center"/>
            <w:hideMark/>
          </w:tcPr>
          <w:p w:rsidR="00335087" w:rsidRPr="002D235B" w:rsidRDefault="00335087" w:rsidP="00335087">
            <w:pPr>
              <w:spacing w:after="0" w:line="240" w:lineRule="auto"/>
              <w:rPr>
                <w:rFonts w:ascii="Calibri" w:eastAsia="Times New Roman" w:hAnsi="Calibri" w:cs="Times New Roman"/>
                <w:b/>
                <w:bCs/>
                <w:color w:val="000000"/>
              </w:rPr>
            </w:pPr>
            <w:r w:rsidRPr="002D235B">
              <w:rPr>
                <w:rFonts w:ascii="Calibri" w:eastAsia="Times New Roman" w:hAnsi="Calibri" w:cs="Times New Roman"/>
                <w:b/>
                <w:bCs/>
                <w:color w:val="000000"/>
              </w:rPr>
              <w:t xml:space="preserve"> Telangana </w:t>
            </w:r>
          </w:p>
        </w:tc>
        <w:tc>
          <w:tcPr>
            <w:tcW w:w="1682" w:type="pct"/>
            <w:tcBorders>
              <w:top w:val="single" w:sz="12" w:space="0" w:color="auto"/>
              <w:left w:val="nil"/>
              <w:bottom w:val="single" w:sz="12" w:space="0" w:color="auto"/>
              <w:right w:val="single" w:sz="4" w:space="0" w:color="auto"/>
            </w:tcBorders>
            <w:shd w:val="clear" w:color="auto" w:fill="auto"/>
            <w:noWrap/>
            <w:vAlign w:val="bottom"/>
            <w:hideMark/>
          </w:tcPr>
          <w:p w:rsidR="00335087" w:rsidRPr="002D235B" w:rsidRDefault="00335087" w:rsidP="00335087">
            <w:pPr>
              <w:spacing w:after="0" w:line="240" w:lineRule="auto"/>
              <w:jc w:val="right"/>
              <w:rPr>
                <w:rFonts w:ascii="Calibri" w:eastAsia="Times New Roman" w:hAnsi="Calibri" w:cs="Times New Roman"/>
                <w:b/>
                <w:color w:val="000000"/>
              </w:rPr>
            </w:pPr>
            <w:r w:rsidRPr="002D235B">
              <w:rPr>
                <w:rFonts w:ascii="Calibri" w:eastAsia="Times New Roman" w:hAnsi="Calibri" w:cs="Times New Roman"/>
                <w:b/>
                <w:color w:val="000000"/>
              </w:rPr>
              <w:t xml:space="preserve">               28.0 </w:t>
            </w:r>
          </w:p>
        </w:tc>
        <w:tc>
          <w:tcPr>
            <w:tcW w:w="1863" w:type="pct"/>
            <w:tcBorders>
              <w:top w:val="single" w:sz="12" w:space="0" w:color="auto"/>
              <w:left w:val="single" w:sz="8" w:space="0" w:color="auto"/>
              <w:bottom w:val="single" w:sz="12" w:space="0" w:color="auto"/>
              <w:right w:val="single" w:sz="8" w:space="0" w:color="auto"/>
            </w:tcBorders>
            <w:shd w:val="clear" w:color="000000" w:fill="FFFFFF"/>
            <w:vAlign w:val="bottom"/>
            <w:hideMark/>
          </w:tcPr>
          <w:p w:rsidR="00335087" w:rsidRPr="002D235B" w:rsidRDefault="002D235B" w:rsidP="00335087">
            <w:pPr>
              <w:spacing w:after="0" w:line="240" w:lineRule="auto"/>
              <w:jc w:val="right"/>
              <w:rPr>
                <w:rFonts w:ascii="Calibri" w:eastAsia="Times New Roman" w:hAnsi="Calibri" w:cs="Times New Roman"/>
                <w:b/>
                <w:bCs/>
                <w:color w:val="000000"/>
              </w:rPr>
            </w:pPr>
            <w:r w:rsidRPr="002D235B">
              <w:rPr>
                <w:rFonts w:ascii="Calibri" w:eastAsia="Times New Roman" w:hAnsi="Calibri" w:cs="Times New Roman"/>
                <w:b/>
                <w:bCs/>
                <w:color w:val="000000"/>
              </w:rPr>
              <w:t>NA</w:t>
            </w:r>
          </w:p>
        </w:tc>
      </w:tr>
      <w:tr w:rsidR="00335087" w:rsidRPr="002D235B" w:rsidTr="002D235B">
        <w:trPr>
          <w:trHeight w:val="315"/>
          <w:jc w:val="center"/>
        </w:trPr>
        <w:tc>
          <w:tcPr>
            <w:tcW w:w="1454" w:type="pct"/>
            <w:tcBorders>
              <w:top w:val="single" w:sz="12" w:space="0" w:color="auto"/>
              <w:left w:val="single" w:sz="8" w:space="0" w:color="auto"/>
              <w:bottom w:val="single" w:sz="8" w:space="0" w:color="auto"/>
              <w:right w:val="single" w:sz="12" w:space="0" w:color="auto"/>
            </w:tcBorders>
            <w:shd w:val="clear" w:color="000000" w:fill="FFFFFF"/>
            <w:vAlign w:val="center"/>
            <w:hideMark/>
          </w:tcPr>
          <w:p w:rsidR="00335087" w:rsidRPr="002D235B" w:rsidRDefault="00335087" w:rsidP="00335087">
            <w:pPr>
              <w:spacing w:after="0" w:line="240" w:lineRule="auto"/>
              <w:rPr>
                <w:rFonts w:ascii="Calibri" w:eastAsia="Times New Roman" w:hAnsi="Calibri" w:cs="Times New Roman"/>
                <w:b/>
                <w:bCs/>
                <w:color w:val="000000"/>
              </w:rPr>
            </w:pPr>
            <w:r w:rsidRPr="002D235B">
              <w:rPr>
                <w:rFonts w:ascii="Calibri" w:eastAsia="Times New Roman" w:hAnsi="Calibri" w:cs="Times New Roman"/>
                <w:b/>
                <w:bCs/>
                <w:color w:val="000000"/>
              </w:rPr>
              <w:t xml:space="preserve"> West Bengal </w:t>
            </w:r>
          </w:p>
        </w:tc>
        <w:tc>
          <w:tcPr>
            <w:tcW w:w="1682" w:type="pct"/>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335087" w:rsidRPr="002D235B" w:rsidRDefault="00335087" w:rsidP="00335087">
            <w:pPr>
              <w:spacing w:after="0" w:line="240" w:lineRule="auto"/>
              <w:jc w:val="right"/>
              <w:rPr>
                <w:rFonts w:ascii="Calibri" w:eastAsia="Times New Roman" w:hAnsi="Calibri" w:cs="Times New Roman"/>
                <w:b/>
                <w:color w:val="000000"/>
              </w:rPr>
            </w:pPr>
            <w:r w:rsidRPr="002D235B">
              <w:rPr>
                <w:rFonts w:ascii="Calibri" w:eastAsia="Times New Roman" w:hAnsi="Calibri" w:cs="Times New Roman"/>
                <w:b/>
                <w:color w:val="000000"/>
              </w:rPr>
              <w:t xml:space="preserve">               27.0 </w:t>
            </w:r>
          </w:p>
        </w:tc>
        <w:tc>
          <w:tcPr>
            <w:tcW w:w="1863" w:type="pct"/>
            <w:tcBorders>
              <w:top w:val="single" w:sz="12" w:space="0" w:color="auto"/>
              <w:left w:val="nil"/>
              <w:bottom w:val="single" w:sz="12" w:space="0" w:color="auto"/>
              <w:right w:val="single" w:sz="12" w:space="0" w:color="auto"/>
            </w:tcBorders>
            <w:shd w:val="clear" w:color="000000" w:fill="FFFFFF"/>
            <w:vAlign w:val="bottom"/>
            <w:hideMark/>
          </w:tcPr>
          <w:p w:rsidR="00335087" w:rsidRPr="002D235B" w:rsidRDefault="00335087" w:rsidP="00335087">
            <w:pPr>
              <w:spacing w:after="0" w:line="240" w:lineRule="auto"/>
              <w:jc w:val="right"/>
              <w:rPr>
                <w:rFonts w:ascii="Calibri" w:eastAsia="Times New Roman" w:hAnsi="Calibri" w:cs="Times New Roman"/>
                <w:b/>
                <w:bCs/>
                <w:color w:val="000000"/>
              </w:rPr>
            </w:pPr>
            <w:r w:rsidRPr="002D235B">
              <w:rPr>
                <w:rFonts w:ascii="Calibri" w:eastAsia="Times New Roman" w:hAnsi="Calibri" w:cs="Times New Roman"/>
                <w:b/>
                <w:bCs/>
                <w:color w:val="000000"/>
              </w:rPr>
              <w:t>31.0</w:t>
            </w:r>
          </w:p>
        </w:tc>
      </w:tr>
    </w:tbl>
    <w:p w:rsidR="00335087" w:rsidRDefault="00335087" w:rsidP="008F3751">
      <w:pPr>
        <w:pStyle w:val="ListParagraph"/>
        <w:jc w:val="both"/>
        <w:rPr>
          <w:b/>
        </w:rPr>
      </w:pPr>
    </w:p>
    <w:p w:rsidR="00335087" w:rsidRDefault="00036A6A" w:rsidP="00036A6A">
      <w:pPr>
        <w:pStyle w:val="ListParagraph"/>
        <w:tabs>
          <w:tab w:val="left" w:pos="2512"/>
        </w:tabs>
        <w:jc w:val="both"/>
        <w:rPr>
          <w:b/>
        </w:rPr>
      </w:pPr>
      <w:r>
        <w:rPr>
          <w:b/>
        </w:rPr>
        <w:tab/>
      </w:r>
    </w:p>
    <w:p w:rsidR="00036A6A" w:rsidRDefault="00036A6A" w:rsidP="00036A6A">
      <w:pPr>
        <w:pStyle w:val="ListParagraph"/>
        <w:tabs>
          <w:tab w:val="left" w:pos="2512"/>
        </w:tabs>
        <w:jc w:val="both"/>
        <w:rPr>
          <w:b/>
        </w:rPr>
      </w:pPr>
    </w:p>
    <w:p w:rsidR="00036A6A" w:rsidRDefault="00036A6A" w:rsidP="00036A6A">
      <w:pPr>
        <w:pStyle w:val="ListParagraph"/>
        <w:tabs>
          <w:tab w:val="left" w:pos="2512"/>
        </w:tabs>
        <w:jc w:val="both"/>
        <w:rPr>
          <w:b/>
        </w:rPr>
      </w:pPr>
    </w:p>
    <w:p w:rsidR="00036A6A" w:rsidRDefault="00036A6A" w:rsidP="00036A6A">
      <w:pPr>
        <w:pStyle w:val="ListParagraph"/>
        <w:tabs>
          <w:tab w:val="left" w:pos="2512"/>
        </w:tabs>
        <w:jc w:val="both"/>
        <w:rPr>
          <w:b/>
        </w:rPr>
      </w:pPr>
    </w:p>
    <w:p w:rsidR="00D64458" w:rsidRDefault="00D64458" w:rsidP="00036A6A">
      <w:pPr>
        <w:pStyle w:val="ListParagraph"/>
        <w:tabs>
          <w:tab w:val="left" w:pos="2512"/>
        </w:tabs>
        <w:jc w:val="both"/>
        <w:rPr>
          <w:b/>
        </w:rPr>
      </w:pPr>
    </w:p>
    <w:p w:rsidR="0038247B" w:rsidRPr="00F32338" w:rsidRDefault="0038247B" w:rsidP="00036A6A">
      <w:pPr>
        <w:pStyle w:val="ListParagraph"/>
        <w:tabs>
          <w:tab w:val="left" w:pos="2512"/>
        </w:tabs>
        <w:jc w:val="both"/>
        <w:rPr>
          <w:b/>
        </w:rPr>
      </w:pPr>
    </w:p>
    <w:p w:rsidR="008F3751" w:rsidRPr="001F20A8" w:rsidRDefault="008F3751" w:rsidP="008F3751">
      <w:pPr>
        <w:pStyle w:val="ListParagraph"/>
        <w:jc w:val="both"/>
        <w:rPr>
          <w:b/>
        </w:rPr>
      </w:pPr>
    </w:p>
    <w:p w:rsidR="00036A6A" w:rsidRPr="00FF18FD" w:rsidRDefault="008F3751" w:rsidP="00036A6A">
      <w:pPr>
        <w:pStyle w:val="ListParagraph"/>
        <w:numPr>
          <w:ilvl w:val="0"/>
          <w:numId w:val="2"/>
        </w:numPr>
        <w:jc w:val="both"/>
      </w:pPr>
      <w:r w:rsidRPr="00E442FA">
        <w:rPr>
          <w:b/>
        </w:rPr>
        <w:lastRenderedPageBreak/>
        <w:t xml:space="preserve">Under 5 Mortality Rate (U5MR) </w:t>
      </w:r>
      <w:r>
        <w:rPr>
          <w:b/>
          <w:bCs/>
        </w:rPr>
        <w:t>( Graph 4</w:t>
      </w:r>
      <w:r w:rsidR="004B6E93">
        <w:rPr>
          <w:b/>
          <w:bCs/>
        </w:rPr>
        <w:t xml:space="preserve"> </w:t>
      </w:r>
      <w:r>
        <w:rPr>
          <w:b/>
          <w:bCs/>
        </w:rPr>
        <w:t>)</w:t>
      </w:r>
      <w:r w:rsidR="00FF18FD">
        <w:rPr>
          <w:b/>
          <w:bCs/>
        </w:rPr>
        <w:t xml:space="preserve"> </w:t>
      </w:r>
      <w:r>
        <w:rPr>
          <w:b/>
          <w:bCs/>
        </w:rPr>
        <w:t>:</w:t>
      </w:r>
      <w:r w:rsidR="00FF18FD">
        <w:rPr>
          <w:b/>
          <w:bCs/>
        </w:rPr>
        <w:t xml:space="preserve"> </w:t>
      </w:r>
      <w:r w:rsidR="00036A6A" w:rsidRPr="00FF18FD">
        <w:rPr>
          <w:bCs/>
        </w:rPr>
        <w:t>This data is not available for Andhra Pradesh and Telangana in NFHS III. As per NFHS IV</w:t>
      </w:r>
      <w:r w:rsidR="00FF18FD">
        <w:rPr>
          <w:bCs/>
        </w:rPr>
        <w:t>,</w:t>
      </w:r>
      <w:r w:rsidR="00036A6A" w:rsidRPr="00FF18FD">
        <w:rPr>
          <w:bCs/>
        </w:rPr>
        <w:t xml:space="preserve"> U5MR for Andhra Pradesh is</w:t>
      </w:r>
      <w:r w:rsidR="00FF18FD">
        <w:rPr>
          <w:bCs/>
        </w:rPr>
        <w:t xml:space="preserve"> </w:t>
      </w:r>
      <w:r w:rsidR="00036A6A" w:rsidRPr="00FF18FD">
        <w:rPr>
          <w:bCs/>
        </w:rPr>
        <w:t>41</w:t>
      </w:r>
      <w:r w:rsidR="00FF18FD">
        <w:rPr>
          <w:bCs/>
        </w:rPr>
        <w:t xml:space="preserve"> per 1000 live births</w:t>
      </w:r>
      <w:r w:rsidR="00036A6A" w:rsidRPr="00FF18FD">
        <w:rPr>
          <w:bCs/>
        </w:rPr>
        <w:t xml:space="preserve">. It is same as per </w:t>
      </w:r>
      <w:r w:rsidR="00036A6A" w:rsidRPr="00FF18FD">
        <w:rPr>
          <w:rFonts w:ascii="Calibri" w:eastAsia="Times New Roman" w:hAnsi="Calibri" w:cs="Times New Roman"/>
          <w:bCs/>
          <w:color w:val="000000"/>
        </w:rPr>
        <w:t>Statistical Report</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(RGI) 2013. In Haryana</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the U5MR has gone down from 52</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 NFHS</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III</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 to 41</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(NFHS</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IV</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 As per Statistical Report</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 xml:space="preserve">(RGI) 2013, </w:t>
      </w:r>
      <w:r w:rsidR="00FF18FD">
        <w:rPr>
          <w:rFonts w:ascii="Calibri" w:eastAsia="Times New Roman" w:hAnsi="Calibri" w:cs="Times New Roman"/>
          <w:bCs/>
          <w:color w:val="000000"/>
        </w:rPr>
        <w:t>U5MR</w:t>
      </w:r>
      <w:r w:rsidR="00036A6A" w:rsidRPr="00FF18FD">
        <w:rPr>
          <w:rFonts w:ascii="Calibri" w:eastAsia="Times New Roman" w:hAnsi="Calibri" w:cs="Times New Roman"/>
          <w:bCs/>
          <w:color w:val="000000"/>
        </w:rPr>
        <w:t xml:space="preserve"> is 45 in Haryana. In Karnataka</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the U5MR has gone down from 54</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NFHS</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III</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 to 32</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NFHS</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IV</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 As per Statistical Report</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 xml:space="preserve">(RGI) 2013, </w:t>
      </w:r>
      <w:r w:rsidR="00FF18FD">
        <w:rPr>
          <w:rFonts w:ascii="Calibri" w:eastAsia="Times New Roman" w:hAnsi="Calibri" w:cs="Times New Roman"/>
          <w:bCs/>
          <w:color w:val="000000"/>
        </w:rPr>
        <w:t>U5MR</w:t>
      </w:r>
      <w:r w:rsidR="00036A6A" w:rsidRPr="00FF18FD">
        <w:rPr>
          <w:rFonts w:ascii="Calibri" w:eastAsia="Times New Roman" w:hAnsi="Calibri" w:cs="Times New Roman"/>
          <w:bCs/>
          <w:color w:val="000000"/>
        </w:rPr>
        <w:t xml:space="preserve"> is 35 in Karnataka. In Maharashtra</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the U5MR has gone down from 46</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NFHS</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III</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 to 29</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NFHS</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IV</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 As per Statistical Report</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 xml:space="preserve">(RGI) 2013, </w:t>
      </w:r>
      <w:r w:rsidR="00FF18FD">
        <w:rPr>
          <w:rFonts w:ascii="Calibri" w:eastAsia="Times New Roman" w:hAnsi="Calibri" w:cs="Times New Roman"/>
          <w:bCs/>
          <w:color w:val="000000"/>
        </w:rPr>
        <w:t>U5MR</w:t>
      </w:r>
      <w:r w:rsidR="00036A6A" w:rsidRPr="00FF18FD">
        <w:rPr>
          <w:rFonts w:ascii="Calibri" w:eastAsia="Times New Roman" w:hAnsi="Calibri" w:cs="Times New Roman"/>
          <w:bCs/>
          <w:color w:val="000000"/>
        </w:rPr>
        <w:t xml:space="preserve"> is 26 in Maharashtra. In Tamil Nadu</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the U5MR has gone down from 35</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NFHS</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III</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 xml:space="preserve">) to </w:t>
      </w:r>
      <w:r w:rsidR="00013F77" w:rsidRPr="00FF18FD">
        <w:rPr>
          <w:rFonts w:ascii="Calibri" w:eastAsia="Times New Roman" w:hAnsi="Calibri" w:cs="Times New Roman"/>
          <w:bCs/>
          <w:color w:val="000000"/>
        </w:rPr>
        <w:t>27</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NFHS</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IV</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 xml:space="preserve">). As per Statistical Report (RGI) 2013, </w:t>
      </w:r>
      <w:r w:rsidR="00FF18FD">
        <w:rPr>
          <w:rFonts w:ascii="Calibri" w:eastAsia="Times New Roman" w:hAnsi="Calibri" w:cs="Times New Roman"/>
          <w:bCs/>
          <w:color w:val="000000"/>
        </w:rPr>
        <w:t>U5MR</w:t>
      </w:r>
      <w:r w:rsidR="00036A6A" w:rsidRPr="00FF18FD">
        <w:rPr>
          <w:rFonts w:ascii="Calibri" w:eastAsia="Times New Roman" w:hAnsi="Calibri" w:cs="Times New Roman"/>
          <w:bCs/>
          <w:color w:val="000000"/>
        </w:rPr>
        <w:t xml:space="preserve"> is same, 2</w:t>
      </w:r>
      <w:r w:rsidR="00013F77" w:rsidRPr="00FF18FD">
        <w:rPr>
          <w:rFonts w:ascii="Calibri" w:eastAsia="Times New Roman" w:hAnsi="Calibri" w:cs="Times New Roman"/>
          <w:bCs/>
          <w:color w:val="000000"/>
        </w:rPr>
        <w:t>3</w:t>
      </w:r>
      <w:r w:rsidR="00036A6A" w:rsidRPr="00FF18FD">
        <w:rPr>
          <w:rFonts w:ascii="Calibri" w:eastAsia="Times New Roman" w:hAnsi="Calibri" w:cs="Times New Roman"/>
          <w:bCs/>
          <w:color w:val="000000"/>
        </w:rPr>
        <w:t xml:space="preserve"> in TN</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In West Bengal the</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 xml:space="preserve">U5MR has gone down from </w:t>
      </w:r>
      <w:r w:rsidR="00013F77" w:rsidRPr="00FF18FD">
        <w:rPr>
          <w:rFonts w:ascii="Calibri" w:eastAsia="Times New Roman" w:hAnsi="Calibri" w:cs="Times New Roman"/>
          <w:bCs/>
          <w:color w:val="000000"/>
        </w:rPr>
        <w:t>59</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 NFHS</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III</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 xml:space="preserve">) to </w:t>
      </w:r>
      <w:r w:rsidR="00013F77" w:rsidRPr="00FF18FD">
        <w:rPr>
          <w:rFonts w:ascii="Calibri" w:eastAsia="Times New Roman" w:hAnsi="Calibri" w:cs="Times New Roman"/>
          <w:bCs/>
          <w:color w:val="000000"/>
        </w:rPr>
        <w:t>32</w:t>
      </w:r>
      <w:r w:rsidR="00036A6A" w:rsidRPr="00FF18FD">
        <w:rPr>
          <w:rFonts w:ascii="Calibri" w:eastAsia="Times New Roman" w:hAnsi="Calibri" w:cs="Times New Roman"/>
          <w:bCs/>
          <w:color w:val="000000"/>
        </w:rPr>
        <w:t>(</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NFHS</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IV</w:t>
      </w:r>
      <w:r w:rsidR="00FF18FD">
        <w:rPr>
          <w:rFonts w:ascii="Calibri" w:eastAsia="Times New Roman" w:hAnsi="Calibri" w:cs="Times New Roman"/>
          <w:bCs/>
          <w:color w:val="000000"/>
        </w:rPr>
        <w:t xml:space="preserve"> </w:t>
      </w:r>
      <w:r w:rsidR="00036A6A" w:rsidRPr="00FF18FD">
        <w:rPr>
          <w:rFonts w:ascii="Calibri" w:eastAsia="Times New Roman" w:hAnsi="Calibri" w:cs="Times New Roman"/>
          <w:bCs/>
          <w:color w:val="000000"/>
        </w:rPr>
        <w:t>). As per Statistical Report (RGI) 2013, it is 3</w:t>
      </w:r>
      <w:r w:rsidR="00013F77" w:rsidRPr="00FF18FD">
        <w:rPr>
          <w:rFonts w:ascii="Calibri" w:eastAsia="Times New Roman" w:hAnsi="Calibri" w:cs="Times New Roman"/>
          <w:bCs/>
          <w:color w:val="000000"/>
        </w:rPr>
        <w:t>5</w:t>
      </w:r>
      <w:r w:rsidR="00036A6A" w:rsidRPr="00FF18FD">
        <w:rPr>
          <w:rFonts w:ascii="Calibri" w:eastAsia="Times New Roman" w:hAnsi="Calibri" w:cs="Times New Roman"/>
          <w:bCs/>
          <w:color w:val="000000"/>
        </w:rPr>
        <w:t xml:space="preserve"> in WB.</w:t>
      </w:r>
      <w:r w:rsidR="00FF18FD" w:rsidRPr="00FF18FD">
        <w:rPr>
          <w:rFonts w:ascii="Calibri" w:eastAsia="Times New Roman" w:hAnsi="Calibri" w:cs="Times New Roman"/>
          <w:bCs/>
          <w:color w:val="000000"/>
        </w:rPr>
        <w:t xml:space="preserve"> . In Telangana, as per NFHS IV, the U5MR is 32</w:t>
      </w:r>
      <w:r w:rsidR="00FF18FD">
        <w:rPr>
          <w:rFonts w:ascii="Calibri" w:eastAsia="Times New Roman" w:hAnsi="Calibri" w:cs="Times New Roman"/>
          <w:bCs/>
          <w:color w:val="000000"/>
        </w:rPr>
        <w:t xml:space="preserve"> per 1000 live births</w:t>
      </w:r>
      <w:r w:rsidR="00FF18FD" w:rsidRPr="00FF18FD">
        <w:rPr>
          <w:rFonts w:ascii="Calibri" w:eastAsia="Times New Roman" w:hAnsi="Calibri" w:cs="Times New Roman"/>
          <w:bCs/>
          <w:color w:val="000000"/>
        </w:rPr>
        <w:t>.</w:t>
      </w:r>
    </w:p>
    <w:p w:rsidR="008F3751" w:rsidRPr="001F20A8" w:rsidRDefault="008F3751" w:rsidP="00036A6A">
      <w:pPr>
        <w:pStyle w:val="ListParagraph"/>
        <w:jc w:val="both"/>
      </w:pPr>
    </w:p>
    <w:p w:rsidR="008F3751" w:rsidRPr="001F20A8" w:rsidRDefault="008F3751" w:rsidP="008F3751">
      <w:pPr>
        <w:pStyle w:val="ListParagraph"/>
        <w:jc w:val="both"/>
      </w:pPr>
    </w:p>
    <w:tbl>
      <w:tblPr>
        <w:tblW w:w="3414" w:type="pct"/>
        <w:jc w:val="center"/>
        <w:tblInd w:w="3159" w:type="dxa"/>
        <w:tblLook w:val="04A0" w:firstRow="1" w:lastRow="0" w:firstColumn="1" w:lastColumn="0" w:noHBand="0" w:noVBand="1"/>
      </w:tblPr>
      <w:tblGrid>
        <w:gridCol w:w="2488"/>
        <w:gridCol w:w="2161"/>
        <w:gridCol w:w="2154"/>
      </w:tblGrid>
      <w:tr w:rsidR="00036A6A" w:rsidRPr="00036A6A" w:rsidTr="00FF18FD">
        <w:trPr>
          <w:trHeight w:val="615"/>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000000" w:fill="F2DCDB"/>
            <w:vAlign w:val="center"/>
            <w:hideMark/>
          </w:tcPr>
          <w:p w:rsidR="00036A6A" w:rsidRPr="00036A6A" w:rsidRDefault="00036A6A" w:rsidP="00036A6A">
            <w:pPr>
              <w:spacing w:after="0" w:line="240" w:lineRule="auto"/>
              <w:jc w:val="center"/>
              <w:rPr>
                <w:rFonts w:ascii="Arial" w:eastAsia="Times New Roman" w:hAnsi="Arial" w:cs="Arial"/>
                <w:b/>
                <w:bCs/>
                <w:sz w:val="18"/>
                <w:szCs w:val="18"/>
              </w:rPr>
            </w:pPr>
            <w:r w:rsidRPr="00036A6A">
              <w:rPr>
                <w:rFonts w:ascii="Arial" w:eastAsia="Times New Roman" w:hAnsi="Arial" w:cs="Arial"/>
                <w:b/>
                <w:bCs/>
                <w:sz w:val="18"/>
                <w:szCs w:val="18"/>
              </w:rPr>
              <w:t>Under 5 Mortality Rate</w:t>
            </w:r>
          </w:p>
        </w:tc>
      </w:tr>
      <w:tr w:rsidR="00036A6A" w:rsidRPr="00036A6A" w:rsidTr="00FF18FD">
        <w:trPr>
          <w:trHeight w:val="915"/>
          <w:jc w:val="center"/>
        </w:trPr>
        <w:tc>
          <w:tcPr>
            <w:tcW w:w="1829" w:type="pct"/>
            <w:tcBorders>
              <w:top w:val="nil"/>
              <w:left w:val="single" w:sz="8" w:space="0" w:color="auto"/>
              <w:bottom w:val="single" w:sz="8" w:space="0" w:color="auto"/>
              <w:right w:val="single" w:sz="8" w:space="0" w:color="auto"/>
            </w:tcBorders>
            <w:shd w:val="clear" w:color="000000" w:fill="D9D9D9"/>
            <w:noWrap/>
            <w:vAlign w:val="center"/>
            <w:hideMark/>
          </w:tcPr>
          <w:p w:rsidR="00036A6A" w:rsidRPr="00036A6A" w:rsidRDefault="00036A6A" w:rsidP="00036A6A">
            <w:pPr>
              <w:spacing w:after="0" w:line="240" w:lineRule="auto"/>
              <w:jc w:val="center"/>
              <w:rPr>
                <w:rFonts w:ascii="Calibri" w:eastAsia="Times New Roman" w:hAnsi="Calibri" w:cs="Times New Roman"/>
                <w:b/>
                <w:bCs/>
                <w:color w:val="000000"/>
              </w:rPr>
            </w:pPr>
            <w:r w:rsidRPr="00036A6A">
              <w:rPr>
                <w:rFonts w:ascii="Calibri" w:eastAsia="Times New Roman" w:hAnsi="Calibri" w:cs="Times New Roman"/>
                <w:b/>
                <w:bCs/>
                <w:color w:val="000000"/>
              </w:rPr>
              <w:t>States</w:t>
            </w:r>
          </w:p>
        </w:tc>
        <w:tc>
          <w:tcPr>
            <w:tcW w:w="1588" w:type="pct"/>
            <w:tcBorders>
              <w:top w:val="nil"/>
              <w:left w:val="nil"/>
              <w:bottom w:val="single" w:sz="8" w:space="0" w:color="auto"/>
              <w:right w:val="single" w:sz="8" w:space="0" w:color="auto"/>
            </w:tcBorders>
            <w:shd w:val="clear" w:color="000000" w:fill="D9D9D9"/>
            <w:vAlign w:val="center"/>
            <w:hideMark/>
          </w:tcPr>
          <w:p w:rsidR="00036A6A" w:rsidRPr="00036A6A" w:rsidRDefault="00036A6A" w:rsidP="00036A6A">
            <w:pPr>
              <w:spacing w:after="0" w:line="240" w:lineRule="auto"/>
              <w:jc w:val="center"/>
              <w:rPr>
                <w:rFonts w:ascii="Calibri" w:eastAsia="Times New Roman" w:hAnsi="Calibri" w:cs="Times New Roman"/>
                <w:b/>
                <w:bCs/>
                <w:color w:val="000000"/>
              </w:rPr>
            </w:pPr>
            <w:r w:rsidRPr="00036A6A">
              <w:rPr>
                <w:rFonts w:ascii="Calibri" w:eastAsia="Times New Roman" w:hAnsi="Calibri" w:cs="Times New Roman"/>
                <w:b/>
                <w:bCs/>
                <w:color w:val="000000"/>
              </w:rPr>
              <w:t xml:space="preserve"> NFHS IV (2015-16) </w:t>
            </w:r>
          </w:p>
        </w:tc>
        <w:tc>
          <w:tcPr>
            <w:tcW w:w="1584" w:type="pct"/>
            <w:tcBorders>
              <w:top w:val="nil"/>
              <w:left w:val="nil"/>
              <w:bottom w:val="nil"/>
              <w:right w:val="single" w:sz="8" w:space="0" w:color="auto"/>
            </w:tcBorders>
            <w:shd w:val="clear" w:color="000000" w:fill="D9D9D9"/>
            <w:vAlign w:val="center"/>
            <w:hideMark/>
          </w:tcPr>
          <w:p w:rsidR="00036A6A" w:rsidRPr="00036A6A" w:rsidRDefault="00FF18FD" w:rsidP="00036A6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Statistic</w:t>
            </w:r>
            <w:r w:rsidR="00036A6A" w:rsidRPr="00036A6A">
              <w:rPr>
                <w:rFonts w:ascii="Calibri" w:eastAsia="Times New Roman" w:hAnsi="Calibri" w:cs="Times New Roman"/>
                <w:b/>
                <w:bCs/>
                <w:color w:val="000000"/>
              </w:rPr>
              <w:t xml:space="preserve">al Report(RGI) 2013 </w:t>
            </w:r>
          </w:p>
        </w:tc>
      </w:tr>
      <w:tr w:rsidR="00036A6A" w:rsidRPr="00036A6A" w:rsidTr="00FF18FD">
        <w:trPr>
          <w:trHeight w:val="315"/>
          <w:jc w:val="center"/>
        </w:trPr>
        <w:tc>
          <w:tcPr>
            <w:tcW w:w="1829" w:type="pct"/>
            <w:tcBorders>
              <w:top w:val="nil"/>
              <w:left w:val="single" w:sz="8" w:space="0" w:color="auto"/>
              <w:bottom w:val="single" w:sz="8" w:space="0" w:color="auto"/>
              <w:right w:val="single" w:sz="8" w:space="0" w:color="auto"/>
            </w:tcBorders>
            <w:shd w:val="clear" w:color="000000" w:fill="FFFFFF"/>
            <w:vAlign w:val="center"/>
            <w:hideMark/>
          </w:tcPr>
          <w:p w:rsidR="00036A6A" w:rsidRPr="00036A6A" w:rsidRDefault="00036A6A" w:rsidP="00036A6A">
            <w:pPr>
              <w:spacing w:after="0" w:line="240" w:lineRule="auto"/>
              <w:rPr>
                <w:rFonts w:ascii="Calibri" w:eastAsia="Times New Roman" w:hAnsi="Calibri" w:cs="Times New Roman"/>
                <w:b/>
                <w:bCs/>
                <w:color w:val="000000"/>
              </w:rPr>
            </w:pPr>
            <w:r w:rsidRPr="00036A6A">
              <w:rPr>
                <w:rFonts w:ascii="Calibri" w:eastAsia="Times New Roman" w:hAnsi="Calibri" w:cs="Times New Roman"/>
                <w:b/>
                <w:bCs/>
                <w:color w:val="000000"/>
              </w:rPr>
              <w:t xml:space="preserve"> Andhra Pradesh </w:t>
            </w:r>
          </w:p>
        </w:tc>
        <w:tc>
          <w:tcPr>
            <w:tcW w:w="1588" w:type="pct"/>
            <w:tcBorders>
              <w:top w:val="nil"/>
              <w:left w:val="nil"/>
              <w:bottom w:val="single" w:sz="8" w:space="0" w:color="auto"/>
              <w:right w:val="single" w:sz="8" w:space="0" w:color="auto"/>
            </w:tcBorders>
            <w:shd w:val="clear" w:color="auto" w:fill="auto"/>
            <w:vAlign w:val="bottom"/>
            <w:hideMark/>
          </w:tcPr>
          <w:p w:rsidR="00036A6A" w:rsidRPr="00036A6A" w:rsidRDefault="00036A6A" w:rsidP="00036A6A">
            <w:pPr>
              <w:spacing w:after="0" w:line="240" w:lineRule="auto"/>
              <w:jc w:val="right"/>
              <w:rPr>
                <w:rFonts w:ascii="Calibri" w:eastAsia="Times New Roman" w:hAnsi="Calibri" w:cs="Times New Roman"/>
                <w:b/>
                <w:bCs/>
                <w:color w:val="000000"/>
              </w:rPr>
            </w:pPr>
            <w:r w:rsidRPr="00036A6A">
              <w:rPr>
                <w:rFonts w:ascii="Calibri" w:eastAsia="Times New Roman" w:hAnsi="Calibri" w:cs="Times New Roman"/>
                <w:b/>
                <w:bCs/>
                <w:color w:val="000000"/>
              </w:rPr>
              <w:t xml:space="preserve">          41.0 </w:t>
            </w:r>
          </w:p>
        </w:tc>
        <w:tc>
          <w:tcPr>
            <w:tcW w:w="1584" w:type="pct"/>
            <w:tcBorders>
              <w:top w:val="single" w:sz="8" w:space="0" w:color="auto"/>
              <w:left w:val="nil"/>
              <w:bottom w:val="nil"/>
              <w:right w:val="single" w:sz="8" w:space="0" w:color="auto"/>
            </w:tcBorders>
            <w:shd w:val="clear" w:color="000000" w:fill="FFFFFF"/>
            <w:vAlign w:val="bottom"/>
            <w:hideMark/>
          </w:tcPr>
          <w:p w:rsidR="00036A6A" w:rsidRPr="00036A6A" w:rsidRDefault="00036A6A" w:rsidP="00036A6A">
            <w:pPr>
              <w:spacing w:after="0" w:line="240" w:lineRule="auto"/>
              <w:jc w:val="right"/>
              <w:rPr>
                <w:rFonts w:ascii="Calibri" w:eastAsia="Times New Roman" w:hAnsi="Calibri" w:cs="Times New Roman"/>
                <w:b/>
                <w:bCs/>
                <w:color w:val="000000"/>
              </w:rPr>
            </w:pPr>
            <w:r w:rsidRPr="00036A6A">
              <w:rPr>
                <w:rFonts w:ascii="Calibri" w:eastAsia="Times New Roman" w:hAnsi="Calibri" w:cs="Times New Roman"/>
                <w:b/>
                <w:bCs/>
                <w:color w:val="000000"/>
              </w:rPr>
              <w:t xml:space="preserve">                    41.0 </w:t>
            </w:r>
          </w:p>
        </w:tc>
      </w:tr>
      <w:tr w:rsidR="00036A6A" w:rsidRPr="00036A6A" w:rsidTr="00FF18FD">
        <w:trPr>
          <w:trHeight w:val="286"/>
          <w:jc w:val="center"/>
        </w:trPr>
        <w:tc>
          <w:tcPr>
            <w:tcW w:w="1829" w:type="pct"/>
            <w:tcBorders>
              <w:top w:val="nil"/>
              <w:left w:val="single" w:sz="8" w:space="0" w:color="auto"/>
              <w:bottom w:val="single" w:sz="8" w:space="0" w:color="auto"/>
              <w:right w:val="single" w:sz="8" w:space="0" w:color="auto"/>
            </w:tcBorders>
            <w:shd w:val="clear" w:color="000000" w:fill="FFFFFF"/>
            <w:vAlign w:val="center"/>
            <w:hideMark/>
          </w:tcPr>
          <w:p w:rsidR="00036A6A" w:rsidRPr="00036A6A" w:rsidRDefault="00036A6A" w:rsidP="00036A6A">
            <w:pPr>
              <w:spacing w:after="0" w:line="240" w:lineRule="auto"/>
              <w:rPr>
                <w:rFonts w:ascii="Calibri" w:eastAsia="Times New Roman" w:hAnsi="Calibri" w:cs="Times New Roman"/>
                <w:b/>
                <w:bCs/>
                <w:color w:val="000000"/>
              </w:rPr>
            </w:pPr>
            <w:r w:rsidRPr="00036A6A">
              <w:rPr>
                <w:rFonts w:ascii="Calibri" w:eastAsia="Times New Roman" w:hAnsi="Calibri" w:cs="Times New Roman"/>
                <w:b/>
                <w:bCs/>
                <w:color w:val="000000"/>
              </w:rPr>
              <w:t xml:space="preserve"> Haryana </w:t>
            </w:r>
          </w:p>
        </w:tc>
        <w:tc>
          <w:tcPr>
            <w:tcW w:w="1588" w:type="pct"/>
            <w:tcBorders>
              <w:top w:val="nil"/>
              <w:left w:val="nil"/>
              <w:bottom w:val="single" w:sz="8" w:space="0" w:color="auto"/>
              <w:right w:val="single" w:sz="8" w:space="0" w:color="auto"/>
            </w:tcBorders>
            <w:shd w:val="clear" w:color="auto" w:fill="auto"/>
            <w:vAlign w:val="bottom"/>
            <w:hideMark/>
          </w:tcPr>
          <w:p w:rsidR="00036A6A" w:rsidRPr="00036A6A" w:rsidRDefault="00036A6A" w:rsidP="00036A6A">
            <w:pPr>
              <w:spacing w:after="0" w:line="240" w:lineRule="auto"/>
              <w:jc w:val="right"/>
              <w:rPr>
                <w:rFonts w:ascii="Calibri" w:eastAsia="Times New Roman" w:hAnsi="Calibri" w:cs="Times New Roman"/>
                <w:b/>
                <w:bCs/>
                <w:color w:val="000000"/>
              </w:rPr>
            </w:pPr>
            <w:r w:rsidRPr="00036A6A">
              <w:rPr>
                <w:rFonts w:ascii="Calibri" w:eastAsia="Times New Roman" w:hAnsi="Calibri" w:cs="Times New Roman"/>
                <w:b/>
                <w:bCs/>
                <w:color w:val="000000"/>
              </w:rPr>
              <w:t xml:space="preserve">          41.0 </w:t>
            </w:r>
          </w:p>
        </w:tc>
        <w:tc>
          <w:tcPr>
            <w:tcW w:w="1584" w:type="pct"/>
            <w:tcBorders>
              <w:top w:val="single" w:sz="8" w:space="0" w:color="auto"/>
              <w:left w:val="nil"/>
              <w:bottom w:val="single" w:sz="8" w:space="0" w:color="auto"/>
              <w:right w:val="single" w:sz="8" w:space="0" w:color="auto"/>
            </w:tcBorders>
            <w:shd w:val="clear" w:color="000000" w:fill="FFFFFF"/>
            <w:vAlign w:val="bottom"/>
            <w:hideMark/>
          </w:tcPr>
          <w:p w:rsidR="00036A6A" w:rsidRPr="00036A6A" w:rsidRDefault="00036A6A" w:rsidP="00036A6A">
            <w:pPr>
              <w:spacing w:after="0" w:line="240" w:lineRule="auto"/>
              <w:jc w:val="right"/>
              <w:rPr>
                <w:rFonts w:ascii="Calibri" w:eastAsia="Times New Roman" w:hAnsi="Calibri" w:cs="Times New Roman"/>
                <w:b/>
                <w:bCs/>
                <w:color w:val="000000"/>
              </w:rPr>
            </w:pPr>
            <w:r w:rsidRPr="00036A6A">
              <w:rPr>
                <w:rFonts w:ascii="Calibri" w:eastAsia="Times New Roman" w:hAnsi="Calibri" w:cs="Times New Roman"/>
                <w:b/>
                <w:bCs/>
                <w:color w:val="000000"/>
              </w:rPr>
              <w:t xml:space="preserve">                    45.0 </w:t>
            </w:r>
          </w:p>
        </w:tc>
      </w:tr>
      <w:tr w:rsidR="00036A6A" w:rsidRPr="00036A6A" w:rsidTr="00FF18FD">
        <w:trPr>
          <w:trHeight w:val="315"/>
          <w:jc w:val="center"/>
        </w:trPr>
        <w:tc>
          <w:tcPr>
            <w:tcW w:w="1829" w:type="pct"/>
            <w:tcBorders>
              <w:top w:val="nil"/>
              <w:left w:val="single" w:sz="8" w:space="0" w:color="auto"/>
              <w:bottom w:val="single" w:sz="8" w:space="0" w:color="auto"/>
              <w:right w:val="single" w:sz="8" w:space="0" w:color="auto"/>
            </w:tcBorders>
            <w:shd w:val="clear" w:color="000000" w:fill="FFFFFF"/>
            <w:vAlign w:val="center"/>
            <w:hideMark/>
          </w:tcPr>
          <w:p w:rsidR="00036A6A" w:rsidRPr="00036A6A" w:rsidRDefault="00036A6A" w:rsidP="00036A6A">
            <w:pPr>
              <w:spacing w:after="0" w:line="240" w:lineRule="auto"/>
              <w:rPr>
                <w:rFonts w:ascii="Calibri" w:eastAsia="Times New Roman" w:hAnsi="Calibri" w:cs="Times New Roman"/>
                <w:b/>
                <w:bCs/>
                <w:color w:val="000000"/>
              </w:rPr>
            </w:pPr>
            <w:r w:rsidRPr="00036A6A">
              <w:rPr>
                <w:rFonts w:ascii="Calibri" w:eastAsia="Times New Roman" w:hAnsi="Calibri" w:cs="Times New Roman"/>
                <w:b/>
                <w:bCs/>
                <w:color w:val="000000"/>
              </w:rPr>
              <w:t xml:space="preserve"> Karnataka </w:t>
            </w:r>
          </w:p>
        </w:tc>
        <w:tc>
          <w:tcPr>
            <w:tcW w:w="1588" w:type="pct"/>
            <w:tcBorders>
              <w:top w:val="nil"/>
              <w:left w:val="nil"/>
              <w:bottom w:val="single" w:sz="8" w:space="0" w:color="auto"/>
              <w:right w:val="single" w:sz="8" w:space="0" w:color="auto"/>
            </w:tcBorders>
            <w:shd w:val="clear" w:color="auto" w:fill="auto"/>
            <w:vAlign w:val="bottom"/>
            <w:hideMark/>
          </w:tcPr>
          <w:p w:rsidR="00036A6A" w:rsidRPr="00036A6A" w:rsidRDefault="00036A6A" w:rsidP="00036A6A">
            <w:pPr>
              <w:spacing w:after="0" w:line="240" w:lineRule="auto"/>
              <w:jc w:val="right"/>
              <w:rPr>
                <w:rFonts w:ascii="Calibri" w:eastAsia="Times New Roman" w:hAnsi="Calibri" w:cs="Times New Roman"/>
                <w:b/>
                <w:bCs/>
                <w:color w:val="000000"/>
              </w:rPr>
            </w:pPr>
            <w:r w:rsidRPr="00036A6A">
              <w:rPr>
                <w:rFonts w:ascii="Calibri" w:eastAsia="Times New Roman" w:hAnsi="Calibri" w:cs="Times New Roman"/>
                <w:b/>
                <w:bCs/>
                <w:color w:val="000000"/>
              </w:rPr>
              <w:t xml:space="preserve">          32.0 </w:t>
            </w:r>
          </w:p>
        </w:tc>
        <w:tc>
          <w:tcPr>
            <w:tcW w:w="1584" w:type="pct"/>
            <w:tcBorders>
              <w:top w:val="nil"/>
              <w:left w:val="nil"/>
              <w:bottom w:val="single" w:sz="8" w:space="0" w:color="auto"/>
              <w:right w:val="single" w:sz="8" w:space="0" w:color="auto"/>
            </w:tcBorders>
            <w:shd w:val="clear" w:color="000000" w:fill="FFFFFF"/>
            <w:vAlign w:val="bottom"/>
            <w:hideMark/>
          </w:tcPr>
          <w:p w:rsidR="00036A6A" w:rsidRPr="00036A6A" w:rsidRDefault="00036A6A" w:rsidP="00036A6A">
            <w:pPr>
              <w:spacing w:after="0" w:line="240" w:lineRule="auto"/>
              <w:jc w:val="right"/>
              <w:rPr>
                <w:rFonts w:ascii="Calibri" w:eastAsia="Times New Roman" w:hAnsi="Calibri" w:cs="Times New Roman"/>
                <w:b/>
                <w:bCs/>
                <w:color w:val="000000"/>
              </w:rPr>
            </w:pPr>
            <w:r w:rsidRPr="00036A6A">
              <w:rPr>
                <w:rFonts w:ascii="Calibri" w:eastAsia="Times New Roman" w:hAnsi="Calibri" w:cs="Times New Roman"/>
                <w:b/>
                <w:bCs/>
                <w:color w:val="000000"/>
              </w:rPr>
              <w:t xml:space="preserve">                    35.0 </w:t>
            </w:r>
          </w:p>
        </w:tc>
      </w:tr>
      <w:tr w:rsidR="00036A6A" w:rsidRPr="00036A6A" w:rsidTr="00FF18FD">
        <w:trPr>
          <w:trHeight w:val="315"/>
          <w:jc w:val="center"/>
        </w:trPr>
        <w:tc>
          <w:tcPr>
            <w:tcW w:w="1829" w:type="pct"/>
            <w:tcBorders>
              <w:top w:val="nil"/>
              <w:left w:val="single" w:sz="8" w:space="0" w:color="auto"/>
              <w:bottom w:val="single" w:sz="8" w:space="0" w:color="auto"/>
              <w:right w:val="single" w:sz="8" w:space="0" w:color="auto"/>
            </w:tcBorders>
            <w:shd w:val="clear" w:color="000000" w:fill="FFFFFF"/>
            <w:vAlign w:val="center"/>
            <w:hideMark/>
          </w:tcPr>
          <w:p w:rsidR="00036A6A" w:rsidRPr="00036A6A" w:rsidRDefault="00036A6A" w:rsidP="00036A6A">
            <w:pPr>
              <w:spacing w:after="0" w:line="240" w:lineRule="auto"/>
              <w:rPr>
                <w:rFonts w:ascii="Calibri" w:eastAsia="Times New Roman" w:hAnsi="Calibri" w:cs="Times New Roman"/>
                <w:b/>
                <w:bCs/>
                <w:color w:val="000000"/>
              </w:rPr>
            </w:pPr>
            <w:r w:rsidRPr="00036A6A">
              <w:rPr>
                <w:rFonts w:ascii="Calibri" w:eastAsia="Times New Roman" w:hAnsi="Calibri" w:cs="Times New Roman"/>
                <w:b/>
                <w:bCs/>
                <w:color w:val="000000"/>
              </w:rPr>
              <w:t xml:space="preserve"> Maharashtra </w:t>
            </w:r>
          </w:p>
        </w:tc>
        <w:tc>
          <w:tcPr>
            <w:tcW w:w="1588" w:type="pct"/>
            <w:tcBorders>
              <w:top w:val="nil"/>
              <w:left w:val="nil"/>
              <w:bottom w:val="single" w:sz="8" w:space="0" w:color="auto"/>
              <w:right w:val="single" w:sz="8" w:space="0" w:color="auto"/>
            </w:tcBorders>
            <w:shd w:val="clear" w:color="auto" w:fill="auto"/>
            <w:noWrap/>
            <w:vAlign w:val="bottom"/>
            <w:hideMark/>
          </w:tcPr>
          <w:p w:rsidR="00036A6A" w:rsidRPr="00036A6A" w:rsidRDefault="00036A6A" w:rsidP="00036A6A">
            <w:pPr>
              <w:spacing w:after="0" w:line="240" w:lineRule="auto"/>
              <w:jc w:val="right"/>
              <w:rPr>
                <w:rFonts w:ascii="Calibri" w:eastAsia="Times New Roman" w:hAnsi="Calibri" w:cs="Times New Roman"/>
                <w:b/>
                <w:bCs/>
                <w:color w:val="000000"/>
              </w:rPr>
            </w:pPr>
            <w:r w:rsidRPr="00036A6A">
              <w:rPr>
                <w:rFonts w:ascii="Calibri" w:eastAsia="Times New Roman" w:hAnsi="Calibri" w:cs="Times New Roman"/>
                <w:b/>
                <w:bCs/>
                <w:color w:val="000000"/>
              </w:rPr>
              <w:t xml:space="preserve">          29.0 </w:t>
            </w:r>
          </w:p>
        </w:tc>
        <w:tc>
          <w:tcPr>
            <w:tcW w:w="1584" w:type="pct"/>
            <w:tcBorders>
              <w:top w:val="single" w:sz="4" w:space="0" w:color="auto"/>
              <w:left w:val="nil"/>
              <w:bottom w:val="nil"/>
              <w:right w:val="single" w:sz="8" w:space="0" w:color="auto"/>
            </w:tcBorders>
            <w:shd w:val="clear" w:color="000000" w:fill="FFFFFF"/>
            <w:vAlign w:val="bottom"/>
            <w:hideMark/>
          </w:tcPr>
          <w:p w:rsidR="00036A6A" w:rsidRPr="00036A6A" w:rsidRDefault="00036A6A" w:rsidP="00036A6A">
            <w:pPr>
              <w:spacing w:after="0" w:line="240" w:lineRule="auto"/>
              <w:jc w:val="right"/>
              <w:rPr>
                <w:rFonts w:ascii="Calibri" w:eastAsia="Times New Roman" w:hAnsi="Calibri" w:cs="Times New Roman"/>
                <w:b/>
                <w:bCs/>
                <w:color w:val="000000"/>
              </w:rPr>
            </w:pPr>
            <w:r w:rsidRPr="00036A6A">
              <w:rPr>
                <w:rFonts w:ascii="Calibri" w:eastAsia="Times New Roman" w:hAnsi="Calibri" w:cs="Times New Roman"/>
                <w:b/>
                <w:bCs/>
                <w:color w:val="000000"/>
              </w:rPr>
              <w:t xml:space="preserve">                    26.0 </w:t>
            </w:r>
          </w:p>
        </w:tc>
      </w:tr>
      <w:tr w:rsidR="00036A6A" w:rsidRPr="00036A6A" w:rsidTr="00FF18FD">
        <w:trPr>
          <w:trHeight w:val="313"/>
          <w:jc w:val="center"/>
        </w:trPr>
        <w:tc>
          <w:tcPr>
            <w:tcW w:w="1829" w:type="pct"/>
            <w:tcBorders>
              <w:top w:val="nil"/>
              <w:left w:val="single" w:sz="8" w:space="0" w:color="auto"/>
              <w:bottom w:val="single" w:sz="8" w:space="0" w:color="auto"/>
              <w:right w:val="single" w:sz="8" w:space="0" w:color="auto"/>
            </w:tcBorders>
            <w:shd w:val="clear" w:color="000000" w:fill="FFFFFF"/>
            <w:vAlign w:val="center"/>
            <w:hideMark/>
          </w:tcPr>
          <w:p w:rsidR="00036A6A" w:rsidRPr="00036A6A" w:rsidRDefault="00036A6A" w:rsidP="00FF18FD">
            <w:pPr>
              <w:spacing w:after="0" w:line="240" w:lineRule="auto"/>
              <w:rPr>
                <w:rFonts w:ascii="Calibri" w:eastAsia="Times New Roman" w:hAnsi="Calibri" w:cs="Times New Roman"/>
                <w:b/>
                <w:bCs/>
                <w:color w:val="000000"/>
              </w:rPr>
            </w:pPr>
            <w:r w:rsidRPr="00036A6A">
              <w:rPr>
                <w:rFonts w:ascii="Calibri" w:eastAsia="Times New Roman" w:hAnsi="Calibri" w:cs="Times New Roman"/>
                <w:b/>
                <w:bCs/>
                <w:color w:val="000000"/>
              </w:rPr>
              <w:t>Tamil</w:t>
            </w:r>
            <w:r w:rsidR="00FF18FD">
              <w:rPr>
                <w:rFonts w:ascii="Calibri" w:eastAsia="Times New Roman" w:hAnsi="Calibri" w:cs="Times New Roman"/>
                <w:b/>
                <w:bCs/>
                <w:color w:val="000000"/>
              </w:rPr>
              <w:t xml:space="preserve"> N</w:t>
            </w:r>
            <w:r w:rsidRPr="00036A6A">
              <w:rPr>
                <w:rFonts w:ascii="Calibri" w:eastAsia="Times New Roman" w:hAnsi="Calibri" w:cs="Times New Roman"/>
                <w:b/>
                <w:bCs/>
                <w:color w:val="000000"/>
              </w:rPr>
              <w:t>adu</w:t>
            </w:r>
          </w:p>
        </w:tc>
        <w:tc>
          <w:tcPr>
            <w:tcW w:w="1588" w:type="pct"/>
            <w:tcBorders>
              <w:top w:val="nil"/>
              <w:left w:val="nil"/>
              <w:bottom w:val="single" w:sz="8" w:space="0" w:color="auto"/>
              <w:right w:val="single" w:sz="8" w:space="0" w:color="auto"/>
            </w:tcBorders>
            <w:shd w:val="clear" w:color="auto" w:fill="auto"/>
            <w:vAlign w:val="bottom"/>
            <w:hideMark/>
          </w:tcPr>
          <w:p w:rsidR="00036A6A" w:rsidRPr="00036A6A" w:rsidRDefault="00036A6A" w:rsidP="00036A6A">
            <w:pPr>
              <w:spacing w:after="0" w:line="240" w:lineRule="auto"/>
              <w:jc w:val="right"/>
              <w:rPr>
                <w:rFonts w:ascii="Calibri" w:eastAsia="Times New Roman" w:hAnsi="Calibri" w:cs="Times New Roman"/>
                <w:b/>
                <w:bCs/>
                <w:color w:val="000000"/>
              </w:rPr>
            </w:pPr>
            <w:r w:rsidRPr="00036A6A">
              <w:rPr>
                <w:rFonts w:ascii="Calibri" w:eastAsia="Times New Roman" w:hAnsi="Calibri" w:cs="Times New Roman"/>
                <w:b/>
                <w:bCs/>
                <w:color w:val="000000"/>
              </w:rPr>
              <w:t xml:space="preserve">          27.0 </w:t>
            </w:r>
          </w:p>
        </w:tc>
        <w:tc>
          <w:tcPr>
            <w:tcW w:w="1584" w:type="pct"/>
            <w:tcBorders>
              <w:top w:val="single" w:sz="8" w:space="0" w:color="auto"/>
              <w:left w:val="nil"/>
              <w:bottom w:val="single" w:sz="8" w:space="0" w:color="auto"/>
              <w:right w:val="single" w:sz="8" w:space="0" w:color="auto"/>
            </w:tcBorders>
            <w:shd w:val="clear" w:color="000000" w:fill="FFFFFF"/>
            <w:vAlign w:val="bottom"/>
            <w:hideMark/>
          </w:tcPr>
          <w:p w:rsidR="00036A6A" w:rsidRPr="00036A6A" w:rsidRDefault="00036A6A" w:rsidP="00036A6A">
            <w:pPr>
              <w:spacing w:after="0" w:line="240" w:lineRule="auto"/>
              <w:jc w:val="right"/>
              <w:rPr>
                <w:rFonts w:ascii="Calibri" w:eastAsia="Times New Roman" w:hAnsi="Calibri" w:cs="Times New Roman"/>
                <w:b/>
                <w:bCs/>
                <w:color w:val="000000"/>
              </w:rPr>
            </w:pPr>
            <w:r w:rsidRPr="00036A6A">
              <w:rPr>
                <w:rFonts w:ascii="Calibri" w:eastAsia="Times New Roman" w:hAnsi="Calibri" w:cs="Times New Roman"/>
                <w:b/>
                <w:bCs/>
                <w:color w:val="000000"/>
              </w:rPr>
              <w:t xml:space="preserve">                    23.0 </w:t>
            </w:r>
          </w:p>
        </w:tc>
      </w:tr>
      <w:tr w:rsidR="00036A6A" w:rsidRPr="00036A6A" w:rsidTr="00FF18FD">
        <w:trPr>
          <w:trHeight w:val="315"/>
          <w:jc w:val="center"/>
        </w:trPr>
        <w:tc>
          <w:tcPr>
            <w:tcW w:w="1829" w:type="pct"/>
            <w:tcBorders>
              <w:top w:val="nil"/>
              <w:left w:val="single" w:sz="8" w:space="0" w:color="auto"/>
              <w:bottom w:val="single" w:sz="8" w:space="0" w:color="auto"/>
              <w:right w:val="single" w:sz="8" w:space="0" w:color="auto"/>
            </w:tcBorders>
            <w:shd w:val="clear" w:color="000000" w:fill="FFFFFF"/>
            <w:vAlign w:val="center"/>
            <w:hideMark/>
          </w:tcPr>
          <w:p w:rsidR="00036A6A" w:rsidRPr="00036A6A" w:rsidRDefault="00036A6A" w:rsidP="00036A6A">
            <w:pPr>
              <w:spacing w:after="0" w:line="240" w:lineRule="auto"/>
              <w:rPr>
                <w:rFonts w:ascii="Calibri" w:eastAsia="Times New Roman" w:hAnsi="Calibri" w:cs="Times New Roman"/>
                <w:b/>
                <w:bCs/>
                <w:color w:val="000000"/>
              </w:rPr>
            </w:pPr>
            <w:r w:rsidRPr="00036A6A">
              <w:rPr>
                <w:rFonts w:ascii="Calibri" w:eastAsia="Times New Roman" w:hAnsi="Calibri" w:cs="Times New Roman"/>
                <w:b/>
                <w:bCs/>
                <w:color w:val="000000"/>
              </w:rPr>
              <w:t xml:space="preserve"> Telangana </w:t>
            </w:r>
          </w:p>
        </w:tc>
        <w:tc>
          <w:tcPr>
            <w:tcW w:w="1588" w:type="pct"/>
            <w:tcBorders>
              <w:top w:val="nil"/>
              <w:left w:val="nil"/>
              <w:bottom w:val="single" w:sz="8" w:space="0" w:color="auto"/>
              <w:right w:val="single" w:sz="8" w:space="0" w:color="auto"/>
            </w:tcBorders>
            <w:shd w:val="clear" w:color="auto" w:fill="auto"/>
            <w:noWrap/>
            <w:vAlign w:val="bottom"/>
            <w:hideMark/>
          </w:tcPr>
          <w:p w:rsidR="00036A6A" w:rsidRPr="00036A6A" w:rsidRDefault="00036A6A" w:rsidP="00036A6A">
            <w:pPr>
              <w:spacing w:after="0" w:line="240" w:lineRule="auto"/>
              <w:jc w:val="right"/>
              <w:rPr>
                <w:rFonts w:ascii="Calibri" w:eastAsia="Times New Roman" w:hAnsi="Calibri" w:cs="Times New Roman"/>
                <w:b/>
                <w:bCs/>
                <w:color w:val="000000"/>
              </w:rPr>
            </w:pPr>
            <w:r w:rsidRPr="00036A6A">
              <w:rPr>
                <w:rFonts w:ascii="Calibri" w:eastAsia="Times New Roman" w:hAnsi="Calibri" w:cs="Times New Roman"/>
                <w:b/>
                <w:bCs/>
                <w:color w:val="000000"/>
              </w:rPr>
              <w:t xml:space="preserve">          32.0 </w:t>
            </w:r>
          </w:p>
        </w:tc>
        <w:tc>
          <w:tcPr>
            <w:tcW w:w="1584" w:type="pct"/>
            <w:tcBorders>
              <w:top w:val="nil"/>
              <w:left w:val="nil"/>
              <w:bottom w:val="single" w:sz="8" w:space="0" w:color="auto"/>
              <w:right w:val="single" w:sz="8" w:space="0" w:color="auto"/>
            </w:tcBorders>
            <w:shd w:val="clear" w:color="000000" w:fill="FFFFFF"/>
            <w:vAlign w:val="bottom"/>
            <w:hideMark/>
          </w:tcPr>
          <w:p w:rsidR="00036A6A" w:rsidRPr="00036A6A" w:rsidRDefault="00FF18FD" w:rsidP="00036A6A">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NA</w:t>
            </w:r>
          </w:p>
        </w:tc>
      </w:tr>
      <w:tr w:rsidR="00036A6A" w:rsidRPr="00036A6A" w:rsidTr="00FF18FD">
        <w:trPr>
          <w:trHeight w:val="315"/>
          <w:jc w:val="center"/>
        </w:trPr>
        <w:tc>
          <w:tcPr>
            <w:tcW w:w="1829" w:type="pct"/>
            <w:tcBorders>
              <w:top w:val="nil"/>
              <w:left w:val="single" w:sz="8" w:space="0" w:color="auto"/>
              <w:bottom w:val="single" w:sz="8" w:space="0" w:color="auto"/>
              <w:right w:val="single" w:sz="8" w:space="0" w:color="auto"/>
            </w:tcBorders>
            <w:shd w:val="clear" w:color="000000" w:fill="FFFFFF"/>
            <w:vAlign w:val="center"/>
            <w:hideMark/>
          </w:tcPr>
          <w:p w:rsidR="00036A6A" w:rsidRPr="00036A6A" w:rsidRDefault="00036A6A" w:rsidP="00036A6A">
            <w:pPr>
              <w:spacing w:after="0" w:line="240" w:lineRule="auto"/>
              <w:rPr>
                <w:rFonts w:ascii="Calibri" w:eastAsia="Times New Roman" w:hAnsi="Calibri" w:cs="Times New Roman"/>
                <w:b/>
                <w:bCs/>
                <w:color w:val="000000"/>
              </w:rPr>
            </w:pPr>
            <w:r w:rsidRPr="00036A6A">
              <w:rPr>
                <w:rFonts w:ascii="Calibri" w:eastAsia="Times New Roman" w:hAnsi="Calibri" w:cs="Times New Roman"/>
                <w:b/>
                <w:bCs/>
                <w:color w:val="000000"/>
              </w:rPr>
              <w:t xml:space="preserve"> West Bengal </w:t>
            </w:r>
          </w:p>
        </w:tc>
        <w:tc>
          <w:tcPr>
            <w:tcW w:w="1588" w:type="pct"/>
            <w:tcBorders>
              <w:top w:val="nil"/>
              <w:left w:val="nil"/>
              <w:bottom w:val="single" w:sz="8" w:space="0" w:color="auto"/>
              <w:right w:val="single" w:sz="8" w:space="0" w:color="auto"/>
            </w:tcBorders>
            <w:shd w:val="clear" w:color="auto" w:fill="auto"/>
            <w:noWrap/>
            <w:vAlign w:val="bottom"/>
            <w:hideMark/>
          </w:tcPr>
          <w:p w:rsidR="00036A6A" w:rsidRPr="00036A6A" w:rsidRDefault="00036A6A" w:rsidP="00036A6A">
            <w:pPr>
              <w:spacing w:after="0" w:line="240" w:lineRule="auto"/>
              <w:jc w:val="right"/>
              <w:rPr>
                <w:rFonts w:ascii="Calibri" w:eastAsia="Times New Roman" w:hAnsi="Calibri" w:cs="Times New Roman"/>
                <w:b/>
                <w:bCs/>
                <w:color w:val="000000"/>
              </w:rPr>
            </w:pPr>
            <w:r w:rsidRPr="00036A6A">
              <w:rPr>
                <w:rFonts w:ascii="Calibri" w:eastAsia="Times New Roman" w:hAnsi="Calibri" w:cs="Times New Roman"/>
                <w:b/>
                <w:bCs/>
                <w:color w:val="000000"/>
              </w:rPr>
              <w:t xml:space="preserve">          32.0 </w:t>
            </w:r>
          </w:p>
        </w:tc>
        <w:tc>
          <w:tcPr>
            <w:tcW w:w="1584" w:type="pct"/>
            <w:tcBorders>
              <w:top w:val="single" w:sz="4" w:space="0" w:color="auto"/>
              <w:left w:val="nil"/>
              <w:bottom w:val="single" w:sz="8" w:space="0" w:color="auto"/>
              <w:right w:val="single" w:sz="8" w:space="0" w:color="auto"/>
            </w:tcBorders>
            <w:shd w:val="clear" w:color="000000" w:fill="FFFFFF"/>
            <w:vAlign w:val="bottom"/>
            <w:hideMark/>
          </w:tcPr>
          <w:p w:rsidR="00036A6A" w:rsidRPr="00036A6A" w:rsidRDefault="00036A6A" w:rsidP="00036A6A">
            <w:pPr>
              <w:spacing w:after="0" w:line="240" w:lineRule="auto"/>
              <w:jc w:val="right"/>
              <w:rPr>
                <w:rFonts w:ascii="Calibri" w:eastAsia="Times New Roman" w:hAnsi="Calibri" w:cs="Times New Roman"/>
                <w:b/>
                <w:bCs/>
                <w:color w:val="000000"/>
              </w:rPr>
            </w:pPr>
            <w:r w:rsidRPr="00036A6A">
              <w:rPr>
                <w:rFonts w:ascii="Calibri" w:eastAsia="Times New Roman" w:hAnsi="Calibri" w:cs="Times New Roman"/>
                <w:b/>
                <w:bCs/>
                <w:color w:val="000000"/>
              </w:rPr>
              <w:t xml:space="preserve">                    35.0 </w:t>
            </w:r>
          </w:p>
        </w:tc>
      </w:tr>
    </w:tbl>
    <w:p w:rsidR="008F3751" w:rsidRDefault="008F3751" w:rsidP="008F3751">
      <w:pPr>
        <w:pStyle w:val="ListParagraph"/>
        <w:jc w:val="both"/>
        <w:rPr>
          <w:sz w:val="20"/>
        </w:rPr>
      </w:pPr>
    </w:p>
    <w:p w:rsidR="00FF18FD" w:rsidRDefault="00FF18FD" w:rsidP="008F3751">
      <w:pPr>
        <w:pStyle w:val="ListParagraph"/>
        <w:jc w:val="both"/>
        <w:rPr>
          <w:sz w:val="20"/>
        </w:rPr>
      </w:pPr>
    </w:p>
    <w:p w:rsidR="008F3751" w:rsidRDefault="008F3751" w:rsidP="008F3751">
      <w:pPr>
        <w:pStyle w:val="ListParagraph"/>
        <w:jc w:val="both"/>
        <w:rPr>
          <w:sz w:val="20"/>
        </w:rPr>
      </w:pPr>
    </w:p>
    <w:p w:rsidR="008F3751" w:rsidRDefault="008F3751" w:rsidP="00FF18FD">
      <w:pPr>
        <w:pStyle w:val="ListParagraph"/>
        <w:numPr>
          <w:ilvl w:val="0"/>
          <w:numId w:val="2"/>
        </w:numPr>
        <w:jc w:val="both"/>
      </w:pPr>
      <w:r>
        <w:rPr>
          <w:b/>
        </w:rPr>
        <w:t xml:space="preserve">Total Unmet Need </w:t>
      </w:r>
      <w:r>
        <w:rPr>
          <w:b/>
          <w:bCs/>
        </w:rPr>
        <w:t>( Graph 5</w:t>
      </w:r>
      <w:r w:rsidR="004B6E93">
        <w:rPr>
          <w:b/>
          <w:bCs/>
        </w:rPr>
        <w:t xml:space="preserve"> </w:t>
      </w:r>
      <w:r>
        <w:rPr>
          <w:b/>
          <w:bCs/>
        </w:rPr>
        <w:t>)</w:t>
      </w:r>
      <w:r w:rsidR="00FF18FD">
        <w:rPr>
          <w:b/>
          <w:bCs/>
        </w:rPr>
        <w:t xml:space="preserve"> </w:t>
      </w:r>
      <w:r>
        <w:rPr>
          <w:b/>
          <w:bCs/>
        </w:rPr>
        <w:t xml:space="preserve">: </w:t>
      </w:r>
      <w:r w:rsidR="009532B7" w:rsidRPr="001F63FC">
        <w:rPr>
          <w:bCs/>
        </w:rPr>
        <w:t>This data is not available for Andhra Pradesh and Telangana in NFHS III.</w:t>
      </w:r>
      <w:r w:rsidR="00FF18FD">
        <w:rPr>
          <w:bCs/>
        </w:rPr>
        <w:t xml:space="preserve"> </w:t>
      </w:r>
      <w:r w:rsidR="007155BE">
        <w:t>Andhra Pradesh has unmet need of 4.7% as per NFHS IV. In Haryana</w:t>
      </w:r>
      <w:r w:rsidR="00FF18FD">
        <w:t>,</w:t>
      </w:r>
      <w:r w:rsidR="007155BE">
        <w:t xml:space="preserve"> unmet need has come down from 9.5% (</w:t>
      </w:r>
      <w:r w:rsidR="00FF18FD">
        <w:t xml:space="preserve"> </w:t>
      </w:r>
      <w:r w:rsidR="007155BE">
        <w:t>NFHS III</w:t>
      </w:r>
      <w:r w:rsidR="00FF18FD">
        <w:t xml:space="preserve"> </w:t>
      </w:r>
      <w:r w:rsidR="007155BE">
        <w:t>) to</w:t>
      </w:r>
      <w:r w:rsidR="00FF18FD">
        <w:t xml:space="preserve"> </w:t>
      </w:r>
      <w:r w:rsidR="007155BE">
        <w:t xml:space="preserve">9.3% </w:t>
      </w:r>
      <w:r w:rsidR="00FF18FD">
        <w:t xml:space="preserve"> </w:t>
      </w:r>
      <w:r w:rsidR="007155BE">
        <w:t>(</w:t>
      </w:r>
      <w:r w:rsidR="00FF18FD">
        <w:t xml:space="preserve"> </w:t>
      </w:r>
      <w:r w:rsidR="007155BE">
        <w:t>NFHS IV</w:t>
      </w:r>
      <w:r w:rsidR="00FF18FD">
        <w:t xml:space="preserve"> )</w:t>
      </w:r>
      <w:r w:rsidR="007155BE">
        <w:t>. In Karnataka, it has gone up from 10.1% (</w:t>
      </w:r>
      <w:r w:rsidR="00FF18FD">
        <w:t xml:space="preserve"> </w:t>
      </w:r>
      <w:r w:rsidR="007155BE">
        <w:t>NFHS III</w:t>
      </w:r>
      <w:r w:rsidR="00FF18FD">
        <w:t xml:space="preserve"> </w:t>
      </w:r>
      <w:r w:rsidR="007155BE">
        <w:t>) to 10.4% (</w:t>
      </w:r>
      <w:r w:rsidR="00FF18FD">
        <w:t xml:space="preserve"> </w:t>
      </w:r>
      <w:r w:rsidR="007155BE">
        <w:t>NFHS IV</w:t>
      </w:r>
      <w:r w:rsidR="00FF18FD">
        <w:t xml:space="preserve"> </w:t>
      </w:r>
      <w:r w:rsidR="007155BE">
        <w:t>).In Maharashtra, it has gone down from 10% (</w:t>
      </w:r>
      <w:r w:rsidR="00FF18FD">
        <w:t xml:space="preserve"> </w:t>
      </w:r>
      <w:r w:rsidR="007155BE">
        <w:t>NFHS III</w:t>
      </w:r>
      <w:r w:rsidR="00FF18FD">
        <w:t xml:space="preserve"> </w:t>
      </w:r>
      <w:r w:rsidR="007155BE">
        <w:t>) to 9.7% (</w:t>
      </w:r>
      <w:r w:rsidR="00FF18FD">
        <w:t xml:space="preserve"> </w:t>
      </w:r>
      <w:r w:rsidR="007155BE">
        <w:t>NFHS IV</w:t>
      </w:r>
      <w:r w:rsidR="00FF18FD">
        <w:t xml:space="preserve"> </w:t>
      </w:r>
      <w:r w:rsidR="007155BE">
        <w:t>). In Tamil Nadu, it has gone down from 10.2% (</w:t>
      </w:r>
      <w:r w:rsidR="00FF18FD">
        <w:t xml:space="preserve"> </w:t>
      </w:r>
      <w:r w:rsidR="007155BE">
        <w:t>NFHS III</w:t>
      </w:r>
      <w:r w:rsidR="00FF18FD">
        <w:t xml:space="preserve"> </w:t>
      </w:r>
      <w:r w:rsidR="007155BE">
        <w:t>) to 10.1% (</w:t>
      </w:r>
      <w:r w:rsidR="00FF18FD">
        <w:t xml:space="preserve"> </w:t>
      </w:r>
      <w:r w:rsidR="007155BE">
        <w:t>NFHS IV</w:t>
      </w:r>
      <w:r w:rsidR="00FF18FD">
        <w:t xml:space="preserve"> </w:t>
      </w:r>
      <w:r w:rsidR="007155BE">
        <w:t xml:space="preserve">). </w:t>
      </w:r>
      <w:r w:rsidR="006D31A1">
        <w:t>Telangana</w:t>
      </w:r>
      <w:r w:rsidR="007155BE">
        <w:t xml:space="preserve"> has unmet need of </w:t>
      </w:r>
      <w:r w:rsidR="006D31A1">
        <w:t>7.3</w:t>
      </w:r>
      <w:r w:rsidR="007155BE">
        <w:t>% as per NFHS IV</w:t>
      </w:r>
      <w:r w:rsidR="006D31A1">
        <w:t>. West Bengal has shown decline from 9.5% (NFHS III) to 7.5% (NFHS IV).</w:t>
      </w:r>
    </w:p>
    <w:p w:rsidR="006D31A1" w:rsidRDefault="006D31A1" w:rsidP="006D31A1">
      <w:pPr>
        <w:pStyle w:val="ListParagraph"/>
        <w:jc w:val="both"/>
      </w:pPr>
    </w:p>
    <w:p w:rsidR="00FF18FD" w:rsidRDefault="00FF18FD" w:rsidP="006D31A1">
      <w:pPr>
        <w:pStyle w:val="ListParagraph"/>
        <w:jc w:val="both"/>
      </w:pPr>
    </w:p>
    <w:p w:rsidR="00041C5B" w:rsidRDefault="008F3751" w:rsidP="00041C5B">
      <w:pPr>
        <w:pStyle w:val="ListParagraph"/>
        <w:numPr>
          <w:ilvl w:val="0"/>
          <w:numId w:val="2"/>
        </w:numPr>
        <w:jc w:val="both"/>
      </w:pPr>
      <w:r w:rsidRPr="0048073F">
        <w:rPr>
          <w:b/>
        </w:rPr>
        <w:t xml:space="preserve">Antenatal Check Up in First Trimester </w:t>
      </w:r>
      <w:r w:rsidR="00041C5B" w:rsidRPr="0048073F">
        <w:rPr>
          <w:b/>
          <w:bCs/>
        </w:rPr>
        <w:t>(</w:t>
      </w:r>
      <w:r w:rsidR="004B6E93">
        <w:rPr>
          <w:b/>
          <w:bCs/>
        </w:rPr>
        <w:t xml:space="preserve"> </w:t>
      </w:r>
      <w:r w:rsidR="00041C5B" w:rsidRPr="0048073F">
        <w:rPr>
          <w:b/>
          <w:bCs/>
        </w:rPr>
        <w:t>Graph</w:t>
      </w:r>
      <w:r w:rsidRPr="0048073F">
        <w:rPr>
          <w:b/>
          <w:bCs/>
        </w:rPr>
        <w:t xml:space="preserve"> 6</w:t>
      </w:r>
      <w:r w:rsidR="004B6E93">
        <w:rPr>
          <w:b/>
          <w:bCs/>
        </w:rPr>
        <w:t xml:space="preserve"> </w:t>
      </w:r>
      <w:r w:rsidRPr="0048073F">
        <w:rPr>
          <w:b/>
          <w:bCs/>
        </w:rPr>
        <w:t>)</w:t>
      </w:r>
      <w:r w:rsidR="00B45A51">
        <w:rPr>
          <w:b/>
          <w:bCs/>
        </w:rPr>
        <w:t xml:space="preserve"> </w:t>
      </w:r>
      <w:r w:rsidRPr="0048073F">
        <w:rPr>
          <w:b/>
          <w:bCs/>
        </w:rPr>
        <w:t>:</w:t>
      </w:r>
      <w:r w:rsidR="00B45A51">
        <w:rPr>
          <w:b/>
          <w:bCs/>
        </w:rPr>
        <w:t xml:space="preserve"> </w:t>
      </w:r>
      <w:r w:rsidR="00041C5B" w:rsidRPr="001F63FC">
        <w:rPr>
          <w:bCs/>
        </w:rPr>
        <w:t>This data is not available for Andhra Pradesh and Telangana in NFHS III</w:t>
      </w:r>
      <w:r w:rsidR="00B45A51">
        <w:rPr>
          <w:bCs/>
        </w:rPr>
        <w:t xml:space="preserve">. In </w:t>
      </w:r>
      <w:r w:rsidR="00B45A51">
        <w:t xml:space="preserve">Andhra Pradesh, </w:t>
      </w:r>
      <w:r w:rsidR="00041C5B">
        <w:t>82.4% mothers had ANC checkup in 1st Trimester as per NFHS IV. In Haryana</w:t>
      </w:r>
      <w:r w:rsidR="00C7555F">
        <w:t>,</w:t>
      </w:r>
      <w:r w:rsidR="00041C5B">
        <w:t xml:space="preserve"> ANC checkup in 1st Trimester has gone up from 51.4% (</w:t>
      </w:r>
      <w:r w:rsidR="00C7555F">
        <w:t xml:space="preserve"> </w:t>
      </w:r>
      <w:r w:rsidR="00041C5B">
        <w:t>NFHS III</w:t>
      </w:r>
      <w:r w:rsidR="00C7555F">
        <w:t xml:space="preserve"> </w:t>
      </w:r>
      <w:r w:rsidR="00041C5B">
        <w:t>) to 63.2% (</w:t>
      </w:r>
      <w:r w:rsidR="00C7555F">
        <w:t xml:space="preserve"> NFHS IV).</w:t>
      </w:r>
      <w:r w:rsidR="00041C5B">
        <w:t xml:space="preserve"> In Karnataka, it has gone down from 70.9% (</w:t>
      </w:r>
      <w:r w:rsidR="00C7555F">
        <w:t xml:space="preserve"> </w:t>
      </w:r>
      <w:r w:rsidR="00041C5B">
        <w:t>NFHS III</w:t>
      </w:r>
      <w:r w:rsidR="00C7555F">
        <w:t xml:space="preserve"> </w:t>
      </w:r>
      <w:r w:rsidR="00041C5B">
        <w:t>) to 66% (</w:t>
      </w:r>
      <w:r w:rsidR="00C7555F">
        <w:t xml:space="preserve"> </w:t>
      </w:r>
      <w:r w:rsidR="00041C5B">
        <w:t>NFHS IV</w:t>
      </w:r>
      <w:r w:rsidR="00C7555F">
        <w:t xml:space="preserve"> </w:t>
      </w:r>
      <w:r w:rsidR="00041C5B">
        <w:t xml:space="preserve">).In Maharashtra, it has gone up from </w:t>
      </w:r>
      <w:r w:rsidR="009F79EE">
        <w:t>62.1</w:t>
      </w:r>
      <w:r w:rsidR="00041C5B">
        <w:t>% (</w:t>
      </w:r>
      <w:r w:rsidR="00C7555F">
        <w:t xml:space="preserve"> </w:t>
      </w:r>
      <w:r w:rsidR="00041C5B">
        <w:t>NFHS III</w:t>
      </w:r>
      <w:r w:rsidR="00C7555F">
        <w:t xml:space="preserve"> </w:t>
      </w:r>
      <w:r w:rsidR="00041C5B">
        <w:t xml:space="preserve">) to </w:t>
      </w:r>
      <w:r w:rsidR="009F79EE">
        <w:t>67.6</w:t>
      </w:r>
      <w:r w:rsidR="00041C5B">
        <w:t>% (</w:t>
      </w:r>
      <w:r w:rsidR="00C7555F">
        <w:t xml:space="preserve"> </w:t>
      </w:r>
      <w:r w:rsidR="00041C5B">
        <w:t>NFHS IV</w:t>
      </w:r>
      <w:r w:rsidR="00C7555F">
        <w:t xml:space="preserve"> </w:t>
      </w:r>
      <w:r w:rsidR="00041C5B">
        <w:t xml:space="preserve">). In Tamil Nadu, it has gone down from </w:t>
      </w:r>
      <w:r w:rsidR="009F79EE">
        <w:t>75.3</w:t>
      </w:r>
      <w:r w:rsidR="00041C5B">
        <w:t>% (</w:t>
      </w:r>
      <w:r w:rsidR="00C7555F">
        <w:t xml:space="preserve"> </w:t>
      </w:r>
      <w:r w:rsidR="00041C5B">
        <w:t>NFHS III</w:t>
      </w:r>
      <w:r w:rsidR="00C7555F">
        <w:t xml:space="preserve"> </w:t>
      </w:r>
      <w:r w:rsidR="00041C5B">
        <w:t xml:space="preserve">) to </w:t>
      </w:r>
      <w:r w:rsidR="009F79EE">
        <w:t>64</w:t>
      </w:r>
      <w:r w:rsidR="00041C5B">
        <w:t>% (</w:t>
      </w:r>
      <w:r w:rsidR="00C7555F">
        <w:t xml:space="preserve"> </w:t>
      </w:r>
      <w:r w:rsidR="00041C5B">
        <w:t>NFHS IV</w:t>
      </w:r>
      <w:r w:rsidR="00C7555F">
        <w:t xml:space="preserve"> </w:t>
      </w:r>
      <w:r w:rsidR="00041C5B">
        <w:t xml:space="preserve">). </w:t>
      </w:r>
      <w:r w:rsidR="009F79EE">
        <w:t xml:space="preserve">In </w:t>
      </w:r>
      <w:r w:rsidR="00041C5B">
        <w:t>Telangana</w:t>
      </w:r>
      <w:r w:rsidR="00C7555F">
        <w:t>,</w:t>
      </w:r>
      <w:r w:rsidR="00041C5B">
        <w:t xml:space="preserve"> </w:t>
      </w:r>
      <w:r w:rsidR="009F79EE">
        <w:t xml:space="preserve">83.1% mothers </w:t>
      </w:r>
      <w:r w:rsidR="00041C5B">
        <w:t>ha</w:t>
      </w:r>
      <w:r w:rsidR="009F79EE">
        <w:t>d</w:t>
      </w:r>
      <w:r w:rsidR="00041C5B">
        <w:t xml:space="preserve"> ANC </w:t>
      </w:r>
      <w:r w:rsidR="009F79EE">
        <w:t xml:space="preserve">checkup </w:t>
      </w:r>
      <w:r w:rsidR="00041C5B">
        <w:t>in 1st Trimester</w:t>
      </w:r>
      <w:r w:rsidR="00C7555F">
        <w:t xml:space="preserve">, </w:t>
      </w:r>
      <w:r w:rsidR="00041C5B">
        <w:t xml:space="preserve">as per NFHS IV. West Bengal has </w:t>
      </w:r>
      <w:r w:rsidR="00C7555F">
        <w:t>reported rise</w:t>
      </w:r>
      <w:r w:rsidR="00041C5B">
        <w:t xml:space="preserve"> from </w:t>
      </w:r>
      <w:r w:rsidR="009F79EE">
        <w:t>38.6</w:t>
      </w:r>
      <w:r w:rsidR="00041C5B">
        <w:t>% (</w:t>
      </w:r>
      <w:r w:rsidR="00C7555F">
        <w:t xml:space="preserve"> </w:t>
      </w:r>
      <w:r w:rsidR="00041C5B">
        <w:t>NFHS III</w:t>
      </w:r>
      <w:r w:rsidR="00C7555F">
        <w:t xml:space="preserve"> </w:t>
      </w:r>
      <w:r w:rsidR="00041C5B">
        <w:t xml:space="preserve">) to </w:t>
      </w:r>
      <w:r w:rsidR="009F79EE">
        <w:t>54.9</w:t>
      </w:r>
      <w:r w:rsidR="00041C5B">
        <w:t>% (</w:t>
      </w:r>
      <w:r w:rsidR="00C7555F">
        <w:t xml:space="preserve"> </w:t>
      </w:r>
      <w:r w:rsidR="00041C5B">
        <w:t>NFHS IV</w:t>
      </w:r>
      <w:r w:rsidR="00C7555F">
        <w:t xml:space="preserve"> </w:t>
      </w:r>
      <w:r w:rsidR="00041C5B">
        <w:t>).</w:t>
      </w:r>
    </w:p>
    <w:p w:rsidR="008F3751" w:rsidRPr="0048073F" w:rsidRDefault="008F3751" w:rsidP="00041C5B">
      <w:pPr>
        <w:pStyle w:val="ListParagraph"/>
        <w:jc w:val="both"/>
        <w:rPr>
          <w:b/>
        </w:rPr>
      </w:pPr>
    </w:p>
    <w:p w:rsidR="00C17B58" w:rsidRDefault="008F3751" w:rsidP="00C17B58">
      <w:pPr>
        <w:pStyle w:val="ListParagraph"/>
        <w:numPr>
          <w:ilvl w:val="0"/>
          <w:numId w:val="2"/>
        </w:numPr>
        <w:jc w:val="both"/>
      </w:pPr>
      <w:r w:rsidRPr="0048073F">
        <w:rPr>
          <w:b/>
        </w:rPr>
        <w:lastRenderedPageBreak/>
        <w:t xml:space="preserve">At least 4 Antenatal Care Visits </w:t>
      </w:r>
      <w:r w:rsidRPr="0048073F">
        <w:rPr>
          <w:b/>
          <w:bCs/>
        </w:rPr>
        <w:t>( Graph 7</w:t>
      </w:r>
      <w:r w:rsidR="004B6E93">
        <w:rPr>
          <w:b/>
          <w:bCs/>
        </w:rPr>
        <w:t xml:space="preserve"> </w:t>
      </w:r>
      <w:r w:rsidRPr="0048073F">
        <w:rPr>
          <w:b/>
          <w:bCs/>
        </w:rPr>
        <w:t>)</w:t>
      </w:r>
      <w:r w:rsidR="004B6E93">
        <w:rPr>
          <w:b/>
          <w:bCs/>
        </w:rPr>
        <w:t xml:space="preserve"> </w:t>
      </w:r>
      <w:r w:rsidRPr="0048073F">
        <w:rPr>
          <w:b/>
          <w:bCs/>
        </w:rPr>
        <w:t>:</w:t>
      </w:r>
      <w:r w:rsidR="004B6E93">
        <w:rPr>
          <w:b/>
          <w:bCs/>
        </w:rPr>
        <w:t xml:space="preserve"> </w:t>
      </w:r>
      <w:r w:rsidR="00C17B58" w:rsidRPr="001F63FC">
        <w:rPr>
          <w:bCs/>
        </w:rPr>
        <w:t>This data is not available for Andhra Pradesh and Telangana in NFHS III</w:t>
      </w:r>
      <w:r w:rsidR="00D67775">
        <w:rPr>
          <w:bCs/>
        </w:rPr>
        <w:t>.</w:t>
      </w:r>
      <w:r w:rsidR="00C17B58">
        <w:rPr>
          <w:bCs/>
        </w:rPr>
        <w:t xml:space="preserve"> In </w:t>
      </w:r>
      <w:r w:rsidR="00C17B58">
        <w:t>Andhra Pradesh</w:t>
      </w:r>
      <w:r w:rsidR="00D67775">
        <w:t>,</w:t>
      </w:r>
      <w:r w:rsidR="00C17B58">
        <w:t xml:space="preserve"> 76.3%</w:t>
      </w:r>
      <w:r w:rsidR="00D67775">
        <w:t xml:space="preserve"> of the</w:t>
      </w:r>
      <w:r w:rsidR="00C17B58">
        <w:t xml:space="preserve"> mothers had 4 antenatal care visits as per NFHS IV. In Haryana</w:t>
      </w:r>
      <w:r w:rsidR="00D67775">
        <w:t>, percentage</w:t>
      </w:r>
      <w:r w:rsidR="00C17B58">
        <w:t xml:space="preserve"> 4 antenatal care visits has gone up from 41.8% (</w:t>
      </w:r>
      <w:r w:rsidR="00D67775">
        <w:t xml:space="preserve"> </w:t>
      </w:r>
      <w:r w:rsidR="00C17B58">
        <w:t>NFHS III</w:t>
      </w:r>
      <w:r w:rsidR="00D67775">
        <w:t xml:space="preserve"> </w:t>
      </w:r>
      <w:r w:rsidR="00C17B58">
        <w:t>) to 45.5% (</w:t>
      </w:r>
      <w:r w:rsidR="00D67775">
        <w:t xml:space="preserve"> </w:t>
      </w:r>
      <w:r w:rsidR="00C17B58">
        <w:t>NFHS IV</w:t>
      </w:r>
      <w:r w:rsidR="00D67775">
        <w:t xml:space="preserve"> ).</w:t>
      </w:r>
      <w:r w:rsidR="00C17B58">
        <w:t xml:space="preserve"> In Karnataka, it has gone up from 68% (</w:t>
      </w:r>
      <w:r w:rsidR="00D67775">
        <w:t xml:space="preserve"> </w:t>
      </w:r>
      <w:r w:rsidR="00C17B58">
        <w:t>NFHS III</w:t>
      </w:r>
      <w:r w:rsidR="00D67775">
        <w:t xml:space="preserve"> </w:t>
      </w:r>
      <w:r w:rsidR="00C17B58">
        <w:t>) to 70.3% (</w:t>
      </w:r>
      <w:r w:rsidR="00D67775">
        <w:t xml:space="preserve"> </w:t>
      </w:r>
      <w:r w:rsidR="00C17B58">
        <w:t>NFHS IV</w:t>
      </w:r>
      <w:r w:rsidR="00D67775">
        <w:t xml:space="preserve"> </w:t>
      </w:r>
      <w:r w:rsidR="00C17B58">
        <w:t>).</w:t>
      </w:r>
      <w:r w:rsidR="00D67775">
        <w:t xml:space="preserve"> </w:t>
      </w:r>
      <w:r w:rsidR="00C17B58">
        <w:t>In Maharashtra, it has gone up from 59.8% (</w:t>
      </w:r>
      <w:r w:rsidR="00D67775">
        <w:t xml:space="preserve"> </w:t>
      </w:r>
      <w:r w:rsidR="00C17B58">
        <w:t>NFHS III</w:t>
      </w:r>
      <w:r w:rsidR="00D67775">
        <w:t xml:space="preserve"> </w:t>
      </w:r>
      <w:r w:rsidR="00C17B58">
        <w:t>) to 72.2% (</w:t>
      </w:r>
      <w:r w:rsidR="00D67775">
        <w:t xml:space="preserve"> </w:t>
      </w:r>
      <w:r w:rsidR="00C17B58">
        <w:t>NFHS IV</w:t>
      </w:r>
      <w:r w:rsidR="00D67775">
        <w:t xml:space="preserve"> </w:t>
      </w:r>
      <w:r w:rsidR="00C17B58">
        <w:t xml:space="preserve">). In Tamil Nadu, it has </w:t>
      </w:r>
      <w:r w:rsidR="00D67775">
        <w:t>decline</w:t>
      </w:r>
      <w:r w:rsidR="00C17B58">
        <w:t xml:space="preserve"> from 87.4% (NFHS III</w:t>
      </w:r>
      <w:r w:rsidR="00D67775">
        <w:t xml:space="preserve"> </w:t>
      </w:r>
      <w:r w:rsidR="00C17B58">
        <w:t>) to 81.2% (</w:t>
      </w:r>
      <w:r w:rsidR="00D67775">
        <w:t xml:space="preserve"> </w:t>
      </w:r>
      <w:r w:rsidR="00C17B58">
        <w:t>NFHS IV</w:t>
      </w:r>
      <w:r w:rsidR="00D67775">
        <w:t xml:space="preserve"> </w:t>
      </w:r>
      <w:r w:rsidR="00C17B58">
        <w:t>). In Telangana</w:t>
      </w:r>
      <w:r w:rsidR="00D67775">
        <w:t>,</w:t>
      </w:r>
      <w:r w:rsidR="00C17B58">
        <w:t xml:space="preserve"> </w:t>
      </w:r>
      <w:r w:rsidR="009A0B97">
        <w:t>75</w:t>
      </w:r>
      <w:r w:rsidR="00C17B58">
        <w:t>% mothers had 4 antenatal care visits</w:t>
      </w:r>
      <w:r w:rsidR="00D67775">
        <w:t xml:space="preserve"> </w:t>
      </w:r>
      <w:r w:rsidR="00C17B58">
        <w:t xml:space="preserve">as per NFHS IV. West Bengal has gone up from </w:t>
      </w:r>
      <w:r w:rsidR="009A0B97">
        <w:t>39</w:t>
      </w:r>
      <w:r w:rsidR="00C17B58">
        <w:t>% (</w:t>
      </w:r>
      <w:r w:rsidR="00D67775">
        <w:t xml:space="preserve"> </w:t>
      </w:r>
      <w:r w:rsidR="00C17B58">
        <w:t>NFHS III</w:t>
      </w:r>
      <w:r w:rsidR="00D67775">
        <w:t xml:space="preserve"> </w:t>
      </w:r>
      <w:r w:rsidR="00C17B58">
        <w:t xml:space="preserve">) to </w:t>
      </w:r>
      <w:r w:rsidR="009A0B97">
        <w:t>76.5</w:t>
      </w:r>
      <w:r w:rsidR="00C17B58">
        <w:t>% (</w:t>
      </w:r>
      <w:r w:rsidR="00D67775">
        <w:t xml:space="preserve"> </w:t>
      </w:r>
      <w:r w:rsidR="00C17B58">
        <w:t>NFHS IV</w:t>
      </w:r>
      <w:r w:rsidR="00D67775">
        <w:t xml:space="preserve"> </w:t>
      </w:r>
      <w:r w:rsidR="00C17B58">
        <w:t>).</w:t>
      </w:r>
    </w:p>
    <w:p w:rsidR="008F3751" w:rsidRDefault="008F3751" w:rsidP="00C17B58">
      <w:pPr>
        <w:pStyle w:val="ListParagraph"/>
        <w:jc w:val="both"/>
        <w:rPr>
          <w:b/>
        </w:rPr>
      </w:pPr>
    </w:p>
    <w:p w:rsidR="00D67775" w:rsidRPr="0048073F" w:rsidRDefault="00D67775" w:rsidP="00C17B58">
      <w:pPr>
        <w:pStyle w:val="ListParagraph"/>
        <w:jc w:val="both"/>
        <w:rPr>
          <w:b/>
        </w:rPr>
      </w:pPr>
    </w:p>
    <w:p w:rsidR="008F3751" w:rsidRPr="00D67775" w:rsidRDefault="008F3751" w:rsidP="00335087">
      <w:pPr>
        <w:pStyle w:val="ListParagraph"/>
        <w:numPr>
          <w:ilvl w:val="0"/>
          <w:numId w:val="2"/>
        </w:numPr>
        <w:jc w:val="both"/>
        <w:rPr>
          <w:b/>
        </w:rPr>
      </w:pPr>
      <w:r>
        <w:rPr>
          <w:b/>
        </w:rPr>
        <w:t>Mothers Receiving PNC from Skilled Health Personnel within 2 Days of Delivery</w:t>
      </w:r>
      <w:r w:rsidR="00D67775">
        <w:rPr>
          <w:b/>
        </w:rPr>
        <w:t xml:space="preserve"> </w:t>
      </w:r>
      <w:r>
        <w:rPr>
          <w:b/>
          <w:bCs/>
        </w:rPr>
        <w:t>( Graph 8</w:t>
      </w:r>
      <w:r w:rsidR="004B6E93">
        <w:rPr>
          <w:b/>
          <w:bCs/>
        </w:rPr>
        <w:t xml:space="preserve"> </w:t>
      </w:r>
      <w:r>
        <w:rPr>
          <w:b/>
          <w:bCs/>
        </w:rPr>
        <w:t>)</w:t>
      </w:r>
      <w:r w:rsidR="004B6E93">
        <w:rPr>
          <w:b/>
          <w:bCs/>
        </w:rPr>
        <w:t xml:space="preserve"> </w:t>
      </w:r>
      <w:r>
        <w:rPr>
          <w:b/>
          <w:bCs/>
        </w:rPr>
        <w:t>:</w:t>
      </w:r>
      <w:r w:rsidR="00D67775">
        <w:rPr>
          <w:b/>
          <w:bCs/>
        </w:rPr>
        <w:t xml:space="preserve"> </w:t>
      </w:r>
      <w:r w:rsidR="00F92DCA" w:rsidRPr="001F63FC">
        <w:rPr>
          <w:bCs/>
        </w:rPr>
        <w:t>This data is not available for Andhra Pradesh and Telangana in NFHS III</w:t>
      </w:r>
      <w:r w:rsidR="00F92DCA">
        <w:rPr>
          <w:bCs/>
        </w:rPr>
        <w:t xml:space="preserve">. In </w:t>
      </w:r>
      <w:r w:rsidR="00F92DCA">
        <w:t>Andhra Pradesh</w:t>
      </w:r>
      <w:r w:rsidR="00D67775">
        <w:t xml:space="preserve">, 79.7% mothers had PNC </w:t>
      </w:r>
      <w:r w:rsidR="00F92DCA">
        <w:t>visits as per NFHS IV. In Haryana PNC visits has gone up from 39.3% (</w:t>
      </w:r>
      <w:r w:rsidR="00D67775">
        <w:t xml:space="preserve"> </w:t>
      </w:r>
      <w:r w:rsidR="00F92DCA">
        <w:t>NFHS III</w:t>
      </w:r>
      <w:r w:rsidR="00D67775">
        <w:t xml:space="preserve"> </w:t>
      </w:r>
      <w:r w:rsidR="00F92DCA">
        <w:t>) to 67.3% (</w:t>
      </w:r>
      <w:r w:rsidR="00D67775">
        <w:t xml:space="preserve"> </w:t>
      </w:r>
      <w:r w:rsidR="00F92DCA">
        <w:t>NFHS IV</w:t>
      </w:r>
      <w:r w:rsidR="00D67775">
        <w:t xml:space="preserve"> </w:t>
      </w:r>
      <w:r w:rsidR="00F92DCA">
        <w:t>). In Karnataka, it has gone up from 56.6% (</w:t>
      </w:r>
      <w:r w:rsidR="00D67775">
        <w:t xml:space="preserve"> </w:t>
      </w:r>
      <w:r w:rsidR="00F92DCA">
        <w:t>NFHS III</w:t>
      </w:r>
      <w:r w:rsidR="00D67775">
        <w:t xml:space="preserve"> </w:t>
      </w:r>
      <w:r w:rsidR="00F92DCA">
        <w:t>) to 65.6% (</w:t>
      </w:r>
      <w:r w:rsidR="00D67775">
        <w:t xml:space="preserve"> </w:t>
      </w:r>
      <w:r w:rsidR="00F92DCA">
        <w:t>NFHS IV</w:t>
      </w:r>
      <w:r w:rsidR="00D67775">
        <w:t xml:space="preserve"> </w:t>
      </w:r>
      <w:r w:rsidR="00F92DCA">
        <w:t>).</w:t>
      </w:r>
      <w:r w:rsidR="00D67775">
        <w:t xml:space="preserve"> </w:t>
      </w:r>
      <w:r w:rsidR="00F92DCA">
        <w:t>In Maharashtra, it has gone up from 57.1% (</w:t>
      </w:r>
      <w:r w:rsidR="00D67775">
        <w:t xml:space="preserve"> </w:t>
      </w:r>
      <w:r w:rsidR="00F92DCA">
        <w:t>NFHS III</w:t>
      </w:r>
      <w:r w:rsidR="00D67775">
        <w:t xml:space="preserve"> </w:t>
      </w:r>
      <w:r w:rsidR="00F92DCA">
        <w:t>) to 78.5% (</w:t>
      </w:r>
      <w:r w:rsidR="00D67775">
        <w:t xml:space="preserve"> </w:t>
      </w:r>
      <w:r w:rsidR="00F92DCA">
        <w:t>NFHS IV</w:t>
      </w:r>
      <w:r w:rsidR="00D67775">
        <w:t xml:space="preserve"> </w:t>
      </w:r>
      <w:r w:rsidR="00F92DCA">
        <w:t>). In Tamil Nadu, it has gone down from 85.6% (</w:t>
      </w:r>
      <w:r w:rsidR="00D67775">
        <w:t xml:space="preserve"> </w:t>
      </w:r>
      <w:r w:rsidR="00F92DCA">
        <w:t>NFHS III</w:t>
      </w:r>
      <w:r w:rsidR="00D67775">
        <w:t xml:space="preserve"> </w:t>
      </w:r>
      <w:r w:rsidR="00F92DCA">
        <w:t>) to 74.1% (</w:t>
      </w:r>
      <w:r w:rsidR="00D67775">
        <w:t xml:space="preserve"> </w:t>
      </w:r>
      <w:r w:rsidR="00F92DCA">
        <w:t>NFHS IV</w:t>
      </w:r>
      <w:r w:rsidR="00D67775">
        <w:t xml:space="preserve"> </w:t>
      </w:r>
      <w:r w:rsidR="00F92DCA">
        <w:t>). In Telangana</w:t>
      </w:r>
      <w:r w:rsidR="00D67775">
        <w:t xml:space="preserve">, 81.8% mothers had PNC </w:t>
      </w:r>
      <w:r w:rsidR="00F92DCA">
        <w:t>visits as per NFHS IV. West Bengal has gone up from 36.1% (</w:t>
      </w:r>
      <w:r w:rsidR="00D67775">
        <w:t xml:space="preserve"> </w:t>
      </w:r>
      <w:r w:rsidR="00F92DCA">
        <w:t>NFHS III</w:t>
      </w:r>
      <w:r w:rsidR="00D67775">
        <w:t xml:space="preserve"> </w:t>
      </w:r>
      <w:r w:rsidR="00F92DCA">
        <w:t>) to 61.1% (</w:t>
      </w:r>
      <w:r w:rsidR="00D67775">
        <w:t xml:space="preserve"> NFHS IV</w:t>
      </w:r>
      <w:r w:rsidR="00F92DCA">
        <w:t>)</w:t>
      </w:r>
      <w:r w:rsidR="00D67775">
        <w:t>.</w:t>
      </w:r>
    </w:p>
    <w:p w:rsidR="00D67775" w:rsidRDefault="00D67775" w:rsidP="00D67775">
      <w:pPr>
        <w:pStyle w:val="ListParagraph"/>
        <w:jc w:val="both"/>
        <w:rPr>
          <w:b/>
        </w:rPr>
      </w:pPr>
    </w:p>
    <w:p w:rsidR="00D67775" w:rsidRPr="001E7742" w:rsidRDefault="00D67775" w:rsidP="00D67775">
      <w:pPr>
        <w:pStyle w:val="ListParagraph"/>
        <w:jc w:val="both"/>
        <w:rPr>
          <w:b/>
        </w:rPr>
      </w:pPr>
    </w:p>
    <w:p w:rsidR="008F3751" w:rsidRPr="0088689D" w:rsidRDefault="008F3751" w:rsidP="00335087">
      <w:pPr>
        <w:pStyle w:val="ListParagraph"/>
        <w:numPr>
          <w:ilvl w:val="0"/>
          <w:numId w:val="2"/>
        </w:numPr>
        <w:jc w:val="both"/>
      </w:pPr>
      <w:r>
        <w:rPr>
          <w:b/>
        </w:rPr>
        <w:t xml:space="preserve">Average Out of Pocket Expenditure per Delivery in Public Health Facility </w:t>
      </w:r>
      <w:r w:rsidR="009D57F5">
        <w:rPr>
          <w:b/>
          <w:bCs/>
        </w:rPr>
        <w:t>(</w:t>
      </w:r>
      <w:r w:rsidR="004B6E93">
        <w:rPr>
          <w:b/>
          <w:bCs/>
        </w:rPr>
        <w:t xml:space="preserve"> </w:t>
      </w:r>
      <w:r w:rsidR="009D57F5">
        <w:rPr>
          <w:b/>
          <w:bCs/>
        </w:rPr>
        <w:t>Graph</w:t>
      </w:r>
      <w:r>
        <w:rPr>
          <w:b/>
          <w:bCs/>
        </w:rPr>
        <w:t xml:space="preserve"> 9</w:t>
      </w:r>
      <w:r w:rsidR="004B6E93">
        <w:rPr>
          <w:b/>
          <w:bCs/>
        </w:rPr>
        <w:t xml:space="preserve"> </w:t>
      </w:r>
      <w:r>
        <w:rPr>
          <w:b/>
          <w:bCs/>
        </w:rPr>
        <w:t>)</w:t>
      </w:r>
      <w:r w:rsidR="004B6E93">
        <w:rPr>
          <w:b/>
          <w:bCs/>
        </w:rPr>
        <w:t xml:space="preserve"> </w:t>
      </w:r>
      <w:r>
        <w:rPr>
          <w:b/>
          <w:bCs/>
        </w:rPr>
        <w:t>:</w:t>
      </w:r>
      <w:r w:rsidR="004B6E93">
        <w:rPr>
          <w:b/>
          <w:bCs/>
        </w:rPr>
        <w:t xml:space="preserve"> </w:t>
      </w:r>
      <w:r w:rsidR="004915DE" w:rsidRPr="004915DE">
        <w:t xml:space="preserve">This data is </w:t>
      </w:r>
      <w:r w:rsidR="00D67775">
        <w:t>included for the first time</w:t>
      </w:r>
      <w:r w:rsidR="004915DE" w:rsidRPr="004915DE">
        <w:t xml:space="preserve"> in NFHS </w:t>
      </w:r>
      <w:r w:rsidR="00750658">
        <w:t>IV</w:t>
      </w:r>
      <w:r w:rsidR="004915DE" w:rsidRPr="004915DE">
        <w:t>.</w:t>
      </w:r>
      <w:r w:rsidR="0088689D">
        <w:t xml:space="preserve"> </w:t>
      </w:r>
      <w:r w:rsidR="00750658">
        <w:t xml:space="preserve">Amongst all non high focus large states, the maximum average out of pocket expenditure per delivery in public health facility is Rs 4020/- reported in Telanagana and minimum is reported for Haryana (Rs 1503/-). </w:t>
      </w:r>
      <w:r w:rsidR="0088689D">
        <w:t>In Andhra Pradesh</w:t>
      </w:r>
      <w:r w:rsidR="00750658">
        <w:t>,</w:t>
      </w:r>
      <w:r w:rsidR="0088689D">
        <w:t xml:space="preserve"> the </w:t>
      </w:r>
      <w:r w:rsidR="0088689D" w:rsidRPr="0088689D">
        <w:t>Average Out of Pocket Expenditure per Delivery in Public Health Facility</w:t>
      </w:r>
      <w:r w:rsidR="00750658">
        <w:t xml:space="preserve"> is Rs 2138</w:t>
      </w:r>
      <w:r w:rsidR="0088689D">
        <w:t>/-, in Karnataka it is Rs 3893/- , in Maharashtra, it is Rs</w:t>
      </w:r>
      <w:r w:rsidR="00750658">
        <w:t xml:space="preserve"> 3487/- and</w:t>
      </w:r>
      <w:r w:rsidR="0088689D">
        <w:t xml:space="preserve"> in Tamil Nadu</w:t>
      </w:r>
      <w:r w:rsidR="00750658">
        <w:t xml:space="preserve"> </w:t>
      </w:r>
      <w:r w:rsidR="00402FFD">
        <w:t>it is Rs 2496/-</w:t>
      </w:r>
      <w:r w:rsidR="00750658">
        <w:t>.</w:t>
      </w:r>
    </w:p>
    <w:p w:rsidR="008F3751" w:rsidRDefault="008F3751" w:rsidP="008F3751">
      <w:pPr>
        <w:pStyle w:val="ListParagraph"/>
        <w:jc w:val="both"/>
      </w:pPr>
    </w:p>
    <w:p w:rsidR="00750658" w:rsidRPr="0088689D" w:rsidRDefault="00750658" w:rsidP="008F3751">
      <w:pPr>
        <w:pStyle w:val="ListParagraph"/>
        <w:jc w:val="both"/>
      </w:pPr>
    </w:p>
    <w:p w:rsidR="009D57F5" w:rsidRPr="001E7742" w:rsidRDefault="008F3751" w:rsidP="009D57F5">
      <w:pPr>
        <w:pStyle w:val="ListParagraph"/>
        <w:numPr>
          <w:ilvl w:val="0"/>
          <w:numId w:val="2"/>
        </w:numPr>
        <w:jc w:val="both"/>
        <w:rPr>
          <w:b/>
        </w:rPr>
      </w:pPr>
      <w:r>
        <w:rPr>
          <w:b/>
        </w:rPr>
        <w:t xml:space="preserve">Institutional Births </w:t>
      </w:r>
      <w:r>
        <w:rPr>
          <w:b/>
          <w:bCs/>
        </w:rPr>
        <w:t>( Graph 10</w:t>
      </w:r>
      <w:r w:rsidR="004B6E93">
        <w:rPr>
          <w:b/>
          <w:bCs/>
        </w:rPr>
        <w:t xml:space="preserve"> </w:t>
      </w:r>
      <w:r>
        <w:rPr>
          <w:b/>
          <w:bCs/>
        </w:rPr>
        <w:t>)</w:t>
      </w:r>
      <w:r w:rsidR="004B6E93">
        <w:rPr>
          <w:b/>
          <w:bCs/>
        </w:rPr>
        <w:t xml:space="preserve"> </w:t>
      </w:r>
      <w:r>
        <w:rPr>
          <w:b/>
          <w:bCs/>
        </w:rPr>
        <w:t>:</w:t>
      </w:r>
      <w:r w:rsidR="004B6E93">
        <w:rPr>
          <w:b/>
          <w:bCs/>
        </w:rPr>
        <w:t xml:space="preserve"> </w:t>
      </w:r>
      <w:r w:rsidR="009D57F5" w:rsidRPr="001F63FC">
        <w:rPr>
          <w:bCs/>
        </w:rPr>
        <w:t>This data is not available for Andhra Pradesh and Telangana in NFHS III</w:t>
      </w:r>
      <w:r w:rsidR="009D57F5">
        <w:rPr>
          <w:bCs/>
        </w:rPr>
        <w:t xml:space="preserve">. In </w:t>
      </w:r>
      <w:r w:rsidR="009D57F5">
        <w:t xml:space="preserve">Andhra </w:t>
      </w:r>
      <w:r w:rsidR="00396C72">
        <w:t>Pradesh</w:t>
      </w:r>
      <w:r w:rsidR="00AF0BDF">
        <w:t xml:space="preserve">, </w:t>
      </w:r>
      <w:r w:rsidR="009D57F5">
        <w:t>91.6%</w:t>
      </w:r>
      <w:r w:rsidR="000768D2">
        <w:t xml:space="preserve"> of total births are institutional births</w:t>
      </w:r>
      <w:r w:rsidR="009D57F5">
        <w:t xml:space="preserve"> as per NFHS IV. In Haryana</w:t>
      </w:r>
      <w:r w:rsidR="000768D2">
        <w:t>,</w:t>
      </w:r>
      <w:r w:rsidR="009D57F5">
        <w:t xml:space="preserve"> Institutional deliveries has gone up from 35.7% (</w:t>
      </w:r>
      <w:r w:rsidR="000768D2">
        <w:t xml:space="preserve"> </w:t>
      </w:r>
      <w:r w:rsidR="009D57F5">
        <w:t>NFHS III</w:t>
      </w:r>
      <w:r w:rsidR="000768D2">
        <w:t xml:space="preserve"> </w:t>
      </w:r>
      <w:r w:rsidR="009D57F5">
        <w:t>) to 80.5% (</w:t>
      </w:r>
      <w:r w:rsidR="000768D2">
        <w:t xml:space="preserve"> </w:t>
      </w:r>
      <w:r w:rsidR="009D57F5">
        <w:t>NFHS IV</w:t>
      </w:r>
      <w:r w:rsidR="000768D2">
        <w:t xml:space="preserve"> </w:t>
      </w:r>
      <w:r w:rsidR="009D57F5">
        <w:t>). In Karnataka, it has gone up from 64.7% (</w:t>
      </w:r>
      <w:r w:rsidR="000768D2">
        <w:t xml:space="preserve"> </w:t>
      </w:r>
      <w:r w:rsidR="009D57F5">
        <w:t>NFHS III</w:t>
      </w:r>
      <w:r w:rsidR="000768D2">
        <w:t xml:space="preserve"> </w:t>
      </w:r>
      <w:r w:rsidR="009D57F5">
        <w:t>) to 94.3% (</w:t>
      </w:r>
      <w:r w:rsidR="000768D2">
        <w:t xml:space="preserve"> </w:t>
      </w:r>
      <w:r w:rsidR="009D57F5">
        <w:t>NFHS IV</w:t>
      </w:r>
      <w:r w:rsidR="000768D2">
        <w:t xml:space="preserve"> </w:t>
      </w:r>
      <w:r w:rsidR="009D57F5">
        <w:t>).</w:t>
      </w:r>
      <w:r w:rsidR="000768D2">
        <w:t xml:space="preserve"> </w:t>
      </w:r>
      <w:r w:rsidR="009D57F5">
        <w:t xml:space="preserve">In Maharashtra, it has gone </w:t>
      </w:r>
      <w:r w:rsidR="00F070A5">
        <w:t>up</w:t>
      </w:r>
      <w:r w:rsidR="009D57F5">
        <w:t xml:space="preserve"> from </w:t>
      </w:r>
      <w:r w:rsidR="00F070A5">
        <w:t>64.6</w:t>
      </w:r>
      <w:r w:rsidR="009D57F5">
        <w:t>% (NFHS III</w:t>
      </w:r>
      <w:r w:rsidR="000768D2">
        <w:t xml:space="preserve"> </w:t>
      </w:r>
      <w:r w:rsidR="009D57F5">
        <w:t xml:space="preserve">) to </w:t>
      </w:r>
      <w:r w:rsidR="00F070A5">
        <w:t>90.3</w:t>
      </w:r>
      <w:r w:rsidR="009D57F5">
        <w:t>% (</w:t>
      </w:r>
      <w:r w:rsidR="000768D2">
        <w:t xml:space="preserve"> </w:t>
      </w:r>
      <w:r w:rsidR="009D57F5">
        <w:t>NFHS IV</w:t>
      </w:r>
      <w:r w:rsidR="000768D2">
        <w:t xml:space="preserve"> </w:t>
      </w:r>
      <w:r w:rsidR="009D57F5">
        <w:t xml:space="preserve">). In Tamil Nadu, it has gone </w:t>
      </w:r>
      <w:r w:rsidR="00F070A5">
        <w:t xml:space="preserve">up </w:t>
      </w:r>
      <w:r w:rsidR="009D57F5">
        <w:t xml:space="preserve">from </w:t>
      </w:r>
      <w:r w:rsidR="00F070A5">
        <w:t>87.8</w:t>
      </w:r>
      <w:r w:rsidR="009D57F5">
        <w:t>% (</w:t>
      </w:r>
      <w:r w:rsidR="000768D2">
        <w:t xml:space="preserve"> </w:t>
      </w:r>
      <w:r w:rsidR="009D57F5">
        <w:t>NFHS III</w:t>
      </w:r>
      <w:r w:rsidR="000768D2">
        <w:t xml:space="preserve"> </w:t>
      </w:r>
      <w:r w:rsidR="009D57F5">
        <w:t xml:space="preserve">) to </w:t>
      </w:r>
      <w:r w:rsidR="00F070A5">
        <w:t>99</w:t>
      </w:r>
      <w:r w:rsidR="009D57F5">
        <w:t>% (</w:t>
      </w:r>
      <w:r w:rsidR="000768D2">
        <w:t xml:space="preserve"> </w:t>
      </w:r>
      <w:r w:rsidR="009D57F5">
        <w:t>NFHS IV). Telangana</w:t>
      </w:r>
      <w:r w:rsidR="00F070A5">
        <w:t xml:space="preserve"> has</w:t>
      </w:r>
      <w:r w:rsidR="000768D2">
        <w:t xml:space="preserve"> reported </w:t>
      </w:r>
      <w:r w:rsidR="00F070A5">
        <w:t>91.5</w:t>
      </w:r>
      <w:r w:rsidR="009D57F5">
        <w:t xml:space="preserve">% Institutional deliveries as per NFHS IV. West Bengal has gone up from </w:t>
      </w:r>
      <w:r w:rsidR="00F070A5">
        <w:t>42</w:t>
      </w:r>
      <w:r w:rsidR="009D57F5">
        <w:t>% (</w:t>
      </w:r>
      <w:r w:rsidR="000768D2">
        <w:t xml:space="preserve"> </w:t>
      </w:r>
      <w:r w:rsidR="009D57F5">
        <w:t>NFHS III</w:t>
      </w:r>
      <w:r w:rsidR="000768D2">
        <w:t xml:space="preserve"> </w:t>
      </w:r>
      <w:r w:rsidR="009D57F5">
        <w:t xml:space="preserve">) to </w:t>
      </w:r>
      <w:r w:rsidR="00F070A5">
        <w:t>75.2</w:t>
      </w:r>
      <w:r w:rsidR="009D57F5">
        <w:t>% (</w:t>
      </w:r>
      <w:r w:rsidR="000768D2">
        <w:t xml:space="preserve"> </w:t>
      </w:r>
      <w:r w:rsidR="009D57F5">
        <w:t>NFHS IV</w:t>
      </w:r>
      <w:r w:rsidR="000768D2">
        <w:t xml:space="preserve"> </w:t>
      </w:r>
      <w:r w:rsidR="009D57F5">
        <w:t>)</w:t>
      </w:r>
      <w:r w:rsidR="000768D2">
        <w:t>.</w:t>
      </w:r>
    </w:p>
    <w:p w:rsidR="008F3751" w:rsidRDefault="008F3751" w:rsidP="008F3751">
      <w:pPr>
        <w:pStyle w:val="ListParagraph"/>
        <w:jc w:val="both"/>
      </w:pPr>
    </w:p>
    <w:p w:rsidR="008F3751" w:rsidRDefault="008F3751" w:rsidP="008F3751">
      <w:pPr>
        <w:pStyle w:val="ListParagraph"/>
        <w:jc w:val="both"/>
      </w:pPr>
    </w:p>
    <w:p w:rsidR="008F3751" w:rsidRPr="00396C72" w:rsidRDefault="008F3751" w:rsidP="00335087">
      <w:pPr>
        <w:pStyle w:val="ListParagraph"/>
        <w:numPr>
          <w:ilvl w:val="0"/>
          <w:numId w:val="2"/>
        </w:numPr>
        <w:jc w:val="both"/>
        <w:rPr>
          <w:b/>
        </w:rPr>
      </w:pPr>
      <w:r>
        <w:rPr>
          <w:b/>
        </w:rPr>
        <w:t>Institutional Births in Public Facility</w:t>
      </w:r>
      <w:r w:rsidR="00154B75">
        <w:rPr>
          <w:b/>
        </w:rPr>
        <w:t xml:space="preserve"> </w:t>
      </w:r>
      <w:r>
        <w:rPr>
          <w:b/>
          <w:bCs/>
        </w:rPr>
        <w:t>( Graph 11</w:t>
      </w:r>
      <w:r w:rsidR="004B6E93">
        <w:rPr>
          <w:b/>
          <w:bCs/>
        </w:rPr>
        <w:t xml:space="preserve"> </w:t>
      </w:r>
      <w:r>
        <w:rPr>
          <w:b/>
          <w:bCs/>
        </w:rPr>
        <w:t>)</w:t>
      </w:r>
      <w:r w:rsidR="004B6E93">
        <w:rPr>
          <w:b/>
          <w:bCs/>
        </w:rPr>
        <w:t xml:space="preserve"> </w:t>
      </w:r>
      <w:r>
        <w:rPr>
          <w:b/>
          <w:bCs/>
        </w:rPr>
        <w:t xml:space="preserve">: </w:t>
      </w:r>
      <w:r w:rsidR="00396C72" w:rsidRPr="001F63FC">
        <w:rPr>
          <w:bCs/>
        </w:rPr>
        <w:t>This data is not available for Andhra Pradesh and Telangana in NFHS III</w:t>
      </w:r>
      <w:r w:rsidR="00396C72">
        <w:rPr>
          <w:bCs/>
        </w:rPr>
        <w:t xml:space="preserve">. In </w:t>
      </w:r>
      <w:r w:rsidR="00396C72">
        <w:t>Andhra Pradesh</w:t>
      </w:r>
      <w:r w:rsidR="00152285">
        <w:t>,</w:t>
      </w:r>
      <w:r w:rsidR="00396C72">
        <w:t xml:space="preserve"> </w:t>
      </w:r>
      <w:r w:rsidR="00622AA3">
        <w:t>38.3</w:t>
      </w:r>
      <w:r w:rsidR="00396C72">
        <w:t>%</w:t>
      </w:r>
      <w:r w:rsidR="00152285">
        <w:t xml:space="preserve"> had</w:t>
      </w:r>
      <w:r w:rsidR="00396C72">
        <w:t xml:space="preserve"> Institutional deliveries in public facilities as per NFHS IV. In Haryana</w:t>
      </w:r>
      <w:r w:rsidR="00152285">
        <w:t>,</w:t>
      </w:r>
      <w:r w:rsidR="00396C72">
        <w:t xml:space="preserve"> Institutional deliveries in public facilities has gone up from </w:t>
      </w:r>
      <w:r w:rsidR="00622AA3">
        <w:t>13.9</w:t>
      </w:r>
      <w:r w:rsidR="00396C72">
        <w:t>% (</w:t>
      </w:r>
      <w:r w:rsidR="00152285">
        <w:t xml:space="preserve"> </w:t>
      </w:r>
      <w:r w:rsidR="00396C72">
        <w:t>NFHS III</w:t>
      </w:r>
      <w:r w:rsidR="00152285">
        <w:t xml:space="preserve"> </w:t>
      </w:r>
      <w:r w:rsidR="00396C72">
        <w:t xml:space="preserve">) to </w:t>
      </w:r>
      <w:r w:rsidR="00622AA3">
        <w:t>52</w:t>
      </w:r>
      <w:r w:rsidR="00396C72">
        <w:t>% (</w:t>
      </w:r>
      <w:r w:rsidR="00152285">
        <w:t xml:space="preserve"> </w:t>
      </w:r>
      <w:r w:rsidR="00396C72">
        <w:t>NFHS IV</w:t>
      </w:r>
      <w:r w:rsidR="00152285">
        <w:t xml:space="preserve"> ). </w:t>
      </w:r>
      <w:r w:rsidR="00396C72">
        <w:t xml:space="preserve">In Karnataka, it has gone up from </w:t>
      </w:r>
      <w:r w:rsidR="00622AA3">
        <w:t>34.8</w:t>
      </w:r>
      <w:r w:rsidR="00396C72">
        <w:t>% (</w:t>
      </w:r>
      <w:r w:rsidR="00152285">
        <w:t xml:space="preserve"> </w:t>
      </w:r>
      <w:r w:rsidR="00396C72">
        <w:t>NFHS III</w:t>
      </w:r>
      <w:r w:rsidR="00152285">
        <w:t xml:space="preserve"> </w:t>
      </w:r>
      <w:r w:rsidR="00396C72">
        <w:t xml:space="preserve">) to </w:t>
      </w:r>
      <w:r w:rsidR="00622AA3">
        <w:t>61.4</w:t>
      </w:r>
      <w:r w:rsidR="00396C72">
        <w:t>% (NFHS IV).</w:t>
      </w:r>
      <w:r w:rsidR="00152285">
        <w:t xml:space="preserve"> </w:t>
      </w:r>
      <w:r w:rsidR="00396C72">
        <w:t xml:space="preserve">In Maharashtra, it has gone up from </w:t>
      </w:r>
      <w:r w:rsidR="00622AA3">
        <w:t>26.5</w:t>
      </w:r>
      <w:r w:rsidR="00396C72">
        <w:t>% (</w:t>
      </w:r>
      <w:r w:rsidR="00152285">
        <w:t xml:space="preserve"> </w:t>
      </w:r>
      <w:r w:rsidR="00396C72">
        <w:t>NFHS III</w:t>
      </w:r>
      <w:r w:rsidR="00152285">
        <w:t xml:space="preserve"> </w:t>
      </w:r>
      <w:r w:rsidR="00396C72">
        <w:t xml:space="preserve">) to </w:t>
      </w:r>
      <w:r w:rsidR="00622AA3">
        <w:t>48.9</w:t>
      </w:r>
      <w:r w:rsidR="00396C72">
        <w:t>% (</w:t>
      </w:r>
      <w:r w:rsidR="00152285">
        <w:t xml:space="preserve"> </w:t>
      </w:r>
      <w:r w:rsidR="00396C72">
        <w:t>NFHS IV</w:t>
      </w:r>
      <w:r w:rsidR="00152285">
        <w:t xml:space="preserve"> </w:t>
      </w:r>
      <w:r w:rsidR="00396C72">
        <w:t xml:space="preserve">). In Tamil Nadu, it has gone up from </w:t>
      </w:r>
      <w:r w:rsidR="00622AA3">
        <w:t>48.1</w:t>
      </w:r>
      <w:r w:rsidR="00396C72">
        <w:t>% (</w:t>
      </w:r>
      <w:r w:rsidR="00152285">
        <w:t xml:space="preserve"> </w:t>
      </w:r>
      <w:r w:rsidR="00396C72">
        <w:t>NFHS III</w:t>
      </w:r>
      <w:r w:rsidR="00152285">
        <w:t xml:space="preserve"> </w:t>
      </w:r>
      <w:r w:rsidR="00396C72">
        <w:t xml:space="preserve">) to </w:t>
      </w:r>
      <w:r w:rsidR="00622AA3">
        <w:t>66</w:t>
      </w:r>
      <w:r w:rsidR="00396C72">
        <w:t>% (</w:t>
      </w:r>
      <w:r w:rsidR="00152285">
        <w:t xml:space="preserve"> </w:t>
      </w:r>
      <w:r w:rsidR="00396C72">
        <w:t>NFHS IV</w:t>
      </w:r>
      <w:r w:rsidR="00152285">
        <w:t xml:space="preserve"> </w:t>
      </w:r>
      <w:r w:rsidR="00396C72">
        <w:t xml:space="preserve">). Telangana has </w:t>
      </w:r>
      <w:r w:rsidR="00622AA3">
        <w:t>31</w:t>
      </w:r>
      <w:r w:rsidR="00396C72">
        <w:t>% Institutional deliveries in public facilities</w:t>
      </w:r>
      <w:r w:rsidR="00152285">
        <w:t xml:space="preserve"> </w:t>
      </w:r>
      <w:r w:rsidR="00396C72">
        <w:t xml:space="preserve">as per NFHS IV. </w:t>
      </w:r>
      <w:r w:rsidR="00152285">
        <w:t xml:space="preserve">Institutional deliveries in public facilities in </w:t>
      </w:r>
      <w:r w:rsidR="00396C72">
        <w:t xml:space="preserve">West Bengal has gone up from </w:t>
      </w:r>
      <w:r w:rsidR="00622AA3">
        <w:t>31.8</w:t>
      </w:r>
      <w:r w:rsidR="00396C72">
        <w:t>% (</w:t>
      </w:r>
      <w:r w:rsidR="00152285">
        <w:t xml:space="preserve"> </w:t>
      </w:r>
      <w:r w:rsidR="00396C72">
        <w:t>NFHS III</w:t>
      </w:r>
      <w:r w:rsidR="00152285">
        <w:t xml:space="preserve"> </w:t>
      </w:r>
      <w:r w:rsidR="00396C72">
        <w:t xml:space="preserve">) to </w:t>
      </w:r>
      <w:r w:rsidR="00622AA3">
        <w:t>56.6</w:t>
      </w:r>
      <w:r w:rsidR="00396C72">
        <w:t>% (</w:t>
      </w:r>
      <w:r w:rsidR="00152285">
        <w:t xml:space="preserve"> </w:t>
      </w:r>
      <w:r w:rsidR="00396C72">
        <w:t>NFHS IV</w:t>
      </w:r>
      <w:r w:rsidR="00152285">
        <w:t xml:space="preserve">  </w:t>
      </w:r>
      <w:r w:rsidR="00396C72">
        <w:t>)</w:t>
      </w:r>
      <w:r w:rsidR="00152285">
        <w:t>.</w:t>
      </w:r>
    </w:p>
    <w:p w:rsidR="00396C72" w:rsidRDefault="00396C72" w:rsidP="00622AA3">
      <w:pPr>
        <w:pStyle w:val="ListParagraph"/>
        <w:jc w:val="both"/>
        <w:rPr>
          <w:b/>
        </w:rPr>
      </w:pPr>
    </w:p>
    <w:p w:rsidR="00154B75" w:rsidRPr="007A0160" w:rsidRDefault="00154B75" w:rsidP="00622AA3">
      <w:pPr>
        <w:pStyle w:val="ListParagraph"/>
        <w:jc w:val="both"/>
        <w:rPr>
          <w:b/>
        </w:rPr>
      </w:pPr>
    </w:p>
    <w:p w:rsidR="00583F50" w:rsidRPr="00396C72" w:rsidRDefault="008F3751" w:rsidP="00583F50">
      <w:pPr>
        <w:pStyle w:val="ListParagraph"/>
        <w:numPr>
          <w:ilvl w:val="0"/>
          <w:numId w:val="2"/>
        </w:numPr>
        <w:jc w:val="both"/>
        <w:rPr>
          <w:b/>
        </w:rPr>
      </w:pPr>
      <w:r>
        <w:rPr>
          <w:b/>
        </w:rPr>
        <w:lastRenderedPageBreak/>
        <w:t xml:space="preserve">Births Assisted by Skilled Health Personnel </w:t>
      </w:r>
      <w:r w:rsidR="00F746C3">
        <w:rPr>
          <w:b/>
          <w:bCs/>
        </w:rPr>
        <w:t xml:space="preserve">( </w:t>
      </w:r>
      <w:r>
        <w:rPr>
          <w:b/>
          <w:bCs/>
        </w:rPr>
        <w:t>Graph 12</w:t>
      </w:r>
      <w:r w:rsidR="004B6E93">
        <w:rPr>
          <w:b/>
          <w:bCs/>
        </w:rPr>
        <w:t xml:space="preserve"> </w:t>
      </w:r>
      <w:r>
        <w:rPr>
          <w:b/>
          <w:bCs/>
        </w:rPr>
        <w:t>)</w:t>
      </w:r>
      <w:r w:rsidR="004B6E93">
        <w:rPr>
          <w:b/>
          <w:bCs/>
        </w:rPr>
        <w:t xml:space="preserve"> </w:t>
      </w:r>
      <w:r>
        <w:rPr>
          <w:b/>
          <w:bCs/>
        </w:rPr>
        <w:t>:</w:t>
      </w:r>
      <w:r w:rsidR="006137BE">
        <w:rPr>
          <w:b/>
          <w:bCs/>
        </w:rPr>
        <w:t xml:space="preserve"> </w:t>
      </w:r>
      <w:r w:rsidR="00583F50" w:rsidRPr="001F63FC">
        <w:rPr>
          <w:bCs/>
        </w:rPr>
        <w:t>This data is not available for Andhra Pradesh and Telangana in NFHS III</w:t>
      </w:r>
      <w:r w:rsidR="00583F50">
        <w:rPr>
          <w:bCs/>
        </w:rPr>
        <w:t xml:space="preserve"> . In </w:t>
      </w:r>
      <w:r w:rsidR="00583F50">
        <w:t>Andhra Pradesh</w:t>
      </w:r>
      <w:r w:rsidR="006137BE">
        <w:t>,</w:t>
      </w:r>
      <w:r w:rsidR="00583F50">
        <w:t xml:space="preserve"> 92.2%</w:t>
      </w:r>
      <w:r w:rsidR="006137BE">
        <w:t xml:space="preserve"> of the b</w:t>
      </w:r>
      <w:r w:rsidR="00583F50">
        <w:t>irths are assisted by skilled health personnel as per NFHS IV. In Haryana</w:t>
      </w:r>
      <w:r w:rsidR="006137BE">
        <w:t>,</w:t>
      </w:r>
      <w:r w:rsidR="00583F50">
        <w:t xml:space="preserve"> Births assisted by skilled health personnel has gone up from 48.9% (</w:t>
      </w:r>
      <w:r w:rsidR="006137BE">
        <w:t xml:space="preserve"> </w:t>
      </w:r>
      <w:r w:rsidR="00583F50">
        <w:t>NFHS III</w:t>
      </w:r>
      <w:r w:rsidR="006137BE">
        <w:t xml:space="preserve"> </w:t>
      </w:r>
      <w:r w:rsidR="00583F50">
        <w:t>) to 84.7% (</w:t>
      </w:r>
      <w:r w:rsidR="006137BE">
        <w:t xml:space="preserve"> </w:t>
      </w:r>
      <w:r w:rsidR="00583F50">
        <w:t>NFHS IV</w:t>
      </w:r>
      <w:r w:rsidR="006137BE">
        <w:t xml:space="preserve"> </w:t>
      </w:r>
      <w:r w:rsidR="00583F50">
        <w:t>). In Karnataka, it has gone up from 69.7% (</w:t>
      </w:r>
      <w:r w:rsidR="006137BE">
        <w:t xml:space="preserve"> </w:t>
      </w:r>
      <w:r w:rsidR="00583F50">
        <w:t>NFHS III</w:t>
      </w:r>
      <w:r w:rsidR="006137BE">
        <w:t xml:space="preserve"> </w:t>
      </w:r>
      <w:r w:rsidR="00583F50">
        <w:t xml:space="preserve">) to </w:t>
      </w:r>
      <w:r w:rsidR="00F301A6">
        <w:t>93.9</w:t>
      </w:r>
      <w:r w:rsidR="00583F50">
        <w:t>% (</w:t>
      </w:r>
      <w:r w:rsidR="006137BE">
        <w:t xml:space="preserve"> </w:t>
      </w:r>
      <w:r w:rsidR="00583F50">
        <w:t>NFHS IV</w:t>
      </w:r>
      <w:r w:rsidR="006137BE">
        <w:t xml:space="preserve"> </w:t>
      </w:r>
      <w:r w:rsidR="00583F50">
        <w:t xml:space="preserve">).In Maharashtra, it has gone up from </w:t>
      </w:r>
      <w:r w:rsidR="00F507AE">
        <w:t>68.8</w:t>
      </w:r>
      <w:r w:rsidR="00583F50">
        <w:t>% (</w:t>
      </w:r>
      <w:r w:rsidR="006137BE">
        <w:t xml:space="preserve"> </w:t>
      </w:r>
      <w:r w:rsidR="00583F50">
        <w:t>NFHS III</w:t>
      </w:r>
      <w:r w:rsidR="006137BE">
        <w:t xml:space="preserve"> </w:t>
      </w:r>
      <w:r w:rsidR="00583F50">
        <w:t xml:space="preserve">) to </w:t>
      </w:r>
      <w:r w:rsidR="00F507AE">
        <w:t>91.1</w:t>
      </w:r>
      <w:r w:rsidR="00583F50">
        <w:t>% (</w:t>
      </w:r>
      <w:r w:rsidR="006137BE">
        <w:t xml:space="preserve"> </w:t>
      </w:r>
      <w:r w:rsidR="00583F50">
        <w:t>NFHS IV</w:t>
      </w:r>
      <w:r w:rsidR="006137BE">
        <w:t xml:space="preserve"> </w:t>
      </w:r>
      <w:r w:rsidR="00583F50">
        <w:t xml:space="preserve">). In Tamil Nadu, it has gone up from </w:t>
      </w:r>
      <w:r w:rsidR="00F507AE">
        <w:t>90.6</w:t>
      </w:r>
      <w:r w:rsidR="00583F50">
        <w:t>% (</w:t>
      </w:r>
      <w:r w:rsidR="006137BE">
        <w:t xml:space="preserve"> </w:t>
      </w:r>
      <w:r w:rsidR="00583F50">
        <w:t>NFHS III</w:t>
      </w:r>
      <w:r w:rsidR="006137BE">
        <w:t xml:space="preserve"> </w:t>
      </w:r>
      <w:r w:rsidR="00583F50">
        <w:t xml:space="preserve">) to </w:t>
      </w:r>
      <w:r w:rsidR="00F507AE">
        <w:t>99.3</w:t>
      </w:r>
      <w:r w:rsidR="00583F50">
        <w:t>% (</w:t>
      </w:r>
      <w:r w:rsidR="006137BE">
        <w:t xml:space="preserve"> </w:t>
      </w:r>
      <w:r w:rsidR="00583F50">
        <w:t>NFHS IV</w:t>
      </w:r>
      <w:r w:rsidR="006137BE">
        <w:t xml:space="preserve"> </w:t>
      </w:r>
      <w:r w:rsidR="00583F50">
        <w:t xml:space="preserve">). Telangana has </w:t>
      </w:r>
      <w:r w:rsidR="00F507AE">
        <w:t>91.4</w:t>
      </w:r>
      <w:r w:rsidR="00583F50">
        <w:t>% Births assisted by skilled health personnel</w:t>
      </w:r>
      <w:r w:rsidR="006137BE">
        <w:t xml:space="preserve"> </w:t>
      </w:r>
      <w:r w:rsidR="00583F50">
        <w:t xml:space="preserve">as per NFHS IV. West Bengal has gone up from </w:t>
      </w:r>
      <w:r w:rsidR="00F507AE">
        <w:t>47.6</w:t>
      </w:r>
      <w:r w:rsidR="00583F50">
        <w:t>% (</w:t>
      </w:r>
      <w:r w:rsidR="006137BE">
        <w:t xml:space="preserve"> </w:t>
      </w:r>
      <w:r w:rsidR="00583F50">
        <w:t>NFHS III</w:t>
      </w:r>
      <w:r w:rsidR="006137BE">
        <w:t xml:space="preserve"> </w:t>
      </w:r>
      <w:r w:rsidR="00583F50">
        <w:t xml:space="preserve">) to </w:t>
      </w:r>
      <w:r w:rsidR="00F507AE">
        <w:t>81.7</w:t>
      </w:r>
      <w:r w:rsidR="00583F50">
        <w:t>% (</w:t>
      </w:r>
      <w:r w:rsidR="006137BE">
        <w:t xml:space="preserve"> </w:t>
      </w:r>
      <w:r w:rsidR="00583F50">
        <w:t>NFHS IV</w:t>
      </w:r>
      <w:r w:rsidR="006137BE">
        <w:t xml:space="preserve"> </w:t>
      </w:r>
      <w:r w:rsidR="00583F50">
        <w:t>)</w:t>
      </w:r>
      <w:r w:rsidR="006137BE">
        <w:t>.</w:t>
      </w:r>
    </w:p>
    <w:p w:rsidR="0048073F" w:rsidRDefault="0048073F" w:rsidP="00583F50">
      <w:pPr>
        <w:pStyle w:val="ListParagraph"/>
        <w:jc w:val="both"/>
        <w:rPr>
          <w:b/>
        </w:rPr>
      </w:pPr>
    </w:p>
    <w:p w:rsidR="00E43E90" w:rsidRDefault="00E43E90" w:rsidP="00583F50">
      <w:pPr>
        <w:pStyle w:val="ListParagraph"/>
        <w:jc w:val="both"/>
        <w:rPr>
          <w:b/>
        </w:rPr>
      </w:pPr>
    </w:p>
    <w:p w:rsidR="0011095F" w:rsidRPr="00396C72" w:rsidRDefault="008F3751" w:rsidP="0011095F">
      <w:pPr>
        <w:pStyle w:val="ListParagraph"/>
        <w:numPr>
          <w:ilvl w:val="0"/>
          <w:numId w:val="2"/>
        </w:numPr>
        <w:jc w:val="both"/>
        <w:rPr>
          <w:b/>
        </w:rPr>
      </w:pPr>
      <w:r w:rsidRPr="0048073F">
        <w:rPr>
          <w:b/>
        </w:rPr>
        <w:t>Births Delivered by C-Section</w:t>
      </w:r>
      <w:r w:rsidR="0041317C">
        <w:rPr>
          <w:b/>
        </w:rPr>
        <w:t xml:space="preserve"> </w:t>
      </w:r>
      <w:r w:rsidR="00F746C3">
        <w:rPr>
          <w:b/>
          <w:bCs/>
        </w:rPr>
        <w:t xml:space="preserve">( </w:t>
      </w:r>
      <w:r w:rsidRPr="0048073F">
        <w:rPr>
          <w:b/>
          <w:bCs/>
        </w:rPr>
        <w:t>Graph 13</w:t>
      </w:r>
      <w:r w:rsidR="00F746C3">
        <w:rPr>
          <w:b/>
          <w:bCs/>
        </w:rPr>
        <w:t xml:space="preserve"> </w:t>
      </w:r>
      <w:r w:rsidRPr="0048073F">
        <w:rPr>
          <w:b/>
          <w:bCs/>
        </w:rPr>
        <w:t>)</w:t>
      </w:r>
      <w:r w:rsidR="004B6E93">
        <w:rPr>
          <w:b/>
          <w:bCs/>
        </w:rPr>
        <w:t xml:space="preserve"> </w:t>
      </w:r>
      <w:r w:rsidRPr="0048073F">
        <w:rPr>
          <w:b/>
          <w:bCs/>
        </w:rPr>
        <w:t>:</w:t>
      </w:r>
      <w:r w:rsidR="0041317C">
        <w:rPr>
          <w:b/>
          <w:bCs/>
        </w:rPr>
        <w:t xml:space="preserve"> </w:t>
      </w:r>
      <w:r w:rsidR="0011095F" w:rsidRPr="001F63FC">
        <w:rPr>
          <w:bCs/>
        </w:rPr>
        <w:t>This data is not available for Andhra Pradesh and Telangana in NFHS III</w:t>
      </w:r>
      <w:r w:rsidR="0011095F">
        <w:rPr>
          <w:bCs/>
        </w:rPr>
        <w:t xml:space="preserve">. In </w:t>
      </w:r>
      <w:r w:rsidR="0011095F">
        <w:t>Andhra Pradesh</w:t>
      </w:r>
      <w:r w:rsidR="00F746C3">
        <w:t xml:space="preserve">, </w:t>
      </w:r>
      <w:r w:rsidR="00531BCD">
        <w:t>40.1</w:t>
      </w:r>
      <w:r w:rsidR="0011095F">
        <w:t xml:space="preserve">% </w:t>
      </w:r>
      <w:r w:rsidR="00F746C3">
        <w:t>of b</w:t>
      </w:r>
      <w:r w:rsidR="0011095F">
        <w:t xml:space="preserve">irths </w:t>
      </w:r>
      <w:r w:rsidR="00F746C3">
        <w:t xml:space="preserve">are </w:t>
      </w:r>
      <w:r w:rsidR="00531BCD">
        <w:t xml:space="preserve">delivered by C- Section </w:t>
      </w:r>
      <w:r w:rsidR="0011095F">
        <w:t>as per NFHS IV. In Haryana</w:t>
      </w:r>
      <w:r w:rsidR="00F746C3">
        <w:t>,</w:t>
      </w:r>
      <w:r w:rsidR="0011095F">
        <w:t xml:space="preserve"> Births delivered by C- Section</w:t>
      </w:r>
      <w:r w:rsidR="00F746C3">
        <w:t xml:space="preserve"> </w:t>
      </w:r>
      <w:r w:rsidR="0011095F">
        <w:t xml:space="preserve">has gone up from </w:t>
      </w:r>
      <w:r w:rsidR="00531BCD">
        <w:t>5.3</w:t>
      </w:r>
      <w:r w:rsidR="0011095F">
        <w:t>% (</w:t>
      </w:r>
      <w:r w:rsidR="00F746C3">
        <w:t xml:space="preserve"> </w:t>
      </w:r>
      <w:r w:rsidR="0011095F">
        <w:t>NFHS III</w:t>
      </w:r>
      <w:r w:rsidR="00F746C3">
        <w:t xml:space="preserve"> </w:t>
      </w:r>
      <w:r w:rsidR="0011095F">
        <w:t xml:space="preserve">) to </w:t>
      </w:r>
      <w:r w:rsidR="00531BCD">
        <w:t>11</w:t>
      </w:r>
      <w:r w:rsidR="0011095F">
        <w:t>.7% (</w:t>
      </w:r>
      <w:r w:rsidR="00F746C3">
        <w:t xml:space="preserve"> </w:t>
      </w:r>
      <w:r w:rsidR="0011095F">
        <w:t>NFHS IV</w:t>
      </w:r>
      <w:r w:rsidR="00F746C3">
        <w:t xml:space="preserve"> </w:t>
      </w:r>
      <w:r w:rsidR="0011095F">
        <w:t xml:space="preserve">). In Karnataka, it has gone up from </w:t>
      </w:r>
      <w:r w:rsidR="00531BCD">
        <w:t>15.5</w:t>
      </w:r>
      <w:r w:rsidR="0011095F">
        <w:t>% (</w:t>
      </w:r>
      <w:r w:rsidR="00F746C3">
        <w:t xml:space="preserve"> </w:t>
      </w:r>
      <w:r w:rsidR="0011095F">
        <w:t>NFHS III</w:t>
      </w:r>
      <w:r w:rsidR="00F746C3">
        <w:t xml:space="preserve"> </w:t>
      </w:r>
      <w:r w:rsidR="0011095F">
        <w:t xml:space="preserve">) to </w:t>
      </w:r>
      <w:r w:rsidR="00531BCD">
        <w:t>23.6</w:t>
      </w:r>
      <w:r w:rsidR="0011095F">
        <w:t>% (</w:t>
      </w:r>
      <w:r w:rsidR="00F746C3">
        <w:t xml:space="preserve"> </w:t>
      </w:r>
      <w:r w:rsidR="0011095F">
        <w:t>NFHS IV</w:t>
      </w:r>
      <w:r w:rsidR="00F746C3">
        <w:t xml:space="preserve"> </w:t>
      </w:r>
      <w:r w:rsidR="0011095F">
        <w:t>).</w:t>
      </w:r>
      <w:r w:rsidR="00F746C3">
        <w:t xml:space="preserve"> </w:t>
      </w:r>
      <w:r w:rsidR="0011095F">
        <w:t xml:space="preserve">In Maharashtra, it has gone up from </w:t>
      </w:r>
      <w:r w:rsidR="00531BCD">
        <w:t>11.6</w:t>
      </w:r>
      <w:r w:rsidR="0011095F">
        <w:t>% (</w:t>
      </w:r>
      <w:r w:rsidR="00F746C3">
        <w:t xml:space="preserve"> </w:t>
      </w:r>
      <w:r w:rsidR="0011095F">
        <w:t>NFHS III</w:t>
      </w:r>
      <w:r w:rsidR="00F746C3">
        <w:t xml:space="preserve"> </w:t>
      </w:r>
      <w:r w:rsidR="0011095F">
        <w:t xml:space="preserve">) to </w:t>
      </w:r>
      <w:r w:rsidR="00F746C3">
        <w:t>20</w:t>
      </w:r>
      <w:r w:rsidR="0011095F">
        <w:t>.1% (</w:t>
      </w:r>
      <w:r w:rsidR="00F746C3">
        <w:t xml:space="preserve"> </w:t>
      </w:r>
      <w:r w:rsidR="0011095F">
        <w:t>NFHS IV</w:t>
      </w:r>
      <w:r w:rsidR="00F746C3">
        <w:t xml:space="preserve"> </w:t>
      </w:r>
      <w:r w:rsidR="0011095F">
        <w:t xml:space="preserve">). In Tamil Nadu, it has gone up from </w:t>
      </w:r>
      <w:r w:rsidR="00531BCD">
        <w:t>20.3</w:t>
      </w:r>
      <w:r w:rsidR="0011095F">
        <w:t>% (</w:t>
      </w:r>
      <w:r w:rsidR="00F746C3">
        <w:t xml:space="preserve"> </w:t>
      </w:r>
      <w:r w:rsidR="0011095F">
        <w:t>NFHS III</w:t>
      </w:r>
      <w:r w:rsidR="00F746C3">
        <w:t xml:space="preserve"> </w:t>
      </w:r>
      <w:r w:rsidR="0011095F">
        <w:t xml:space="preserve">) to </w:t>
      </w:r>
      <w:r w:rsidR="00531BCD">
        <w:t>34.1</w:t>
      </w:r>
      <w:r w:rsidR="0011095F">
        <w:t>% (</w:t>
      </w:r>
      <w:r w:rsidR="00F746C3">
        <w:t xml:space="preserve"> </w:t>
      </w:r>
      <w:r w:rsidR="0011095F">
        <w:t>NFHS IV</w:t>
      </w:r>
      <w:r w:rsidR="00F746C3">
        <w:t xml:space="preserve"> </w:t>
      </w:r>
      <w:r w:rsidR="0011095F">
        <w:t xml:space="preserve">). Telangana has </w:t>
      </w:r>
      <w:r w:rsidR="00531BCD">
        <w:t>58</w:t>
      </w:r>
      <w:r w:rsidR="0011095F">
        <w:t>% Births delivered by C- Section</w:t>
      </w:r>
      <w:r w:rsidR="00F746C3">
        <w:t xml:space="preserve"> </w:t>
      </w:r>
      <w:r w:rsidR="0011095F">
        <w:t xml:space="preserve">as per NFHS IV. </w:t>
      </w:r>
      <w:r w:rsidR="00F746C3">
        <w:t xml:space="preserve">C-Section births in </w:t>
      </w:r>
      <w:r w:rsidR="0011095F">
        <w:t xml:space="preserve">West Bengal has gone up from </w:t>
      </w:r>
      <w:r w:rsidR="00531BCD">
        <w:t>10.2</w:t>
      </w:r>
      <w:r w:rsidR="0011095F">
        <w:t>% (</w:t>
      </w:r>
      <w:r w:rsidR="00F746C3">
        <w:t xml:space="preserve"> </w:t>
      </w:r>
      <w:r w:rsidR="0011095F">
        <w:t>NFHS III</w:t>
      </w:r>
      <w:r w:rsidR="00F746C3">
        <w:t xml:space="preserve"> </w:t>
      </w:r>
      <w:r w:rsidR="0011095F">
        <w:t xml:space="preserve">) to </w:t>
      </w:r>
      <w:r w:rsidR="00531BCD">
        <w:t>23.8</w:t>
      </w:r>
      <w:r w:rsidR="0011095F">
        <w:t>% (</w:t>
      </w:r>
      <w:r w:rsidR="00F746C3">
        <w:t xml:space="preserve"> </w:t>
      </w:r>
      <w:r w:rsidR="0011095F">
        <w:t>NFHS IV</w:t>
      </w:r>
      <w:r w:rsidR="00F746C3">
        <w:t xml:space="preserve"> </w:t>
      </w:r>
      <w:r w:rsidR="0011095F">
        <w:t>)</w:t>
      </w:r>
      <w:r w:rsidR="00F746C3">
        <w:t>.</w:t>
      </w:r>
    </w:p>
    <w:p w:rsidR="008F3751" w:rsidRDefault="008F3751" w:rsidP="0011095F">
      <w:pPr>
        <w:pStyle w:val="ListParagraph"/>
        <w:jc w:val="both"/>
        <w:rPr>
          <w:b/>
        </w:rPr>
      </w:pPr>
    </w:p>
    <w:p w:rsidR="00F746C3" w:rsidRPr="0048073F" w:rsidRDefault="00F746C3" w:rsidP="0011095F">
      <w:pPr>
        <w:pStyle w:val="ListParagraph"/>
        <w:jc w:val="both"/>
        <w:rPr>
          <w:b/>
        </w:rPr>
      </w:pPr>
    </w:p>
    <w:p w:rsidR="008F3751" w:rsidRPr="00A829FD" w:rsidRDefault="008F3751" w:rsidP="00335087">
      <w:pPr>
        <w:pStyle w:val="ListParagraph"/>
        <w:numPr>
          <w:ilvl w:val="0"/>
          <w:numId w:val="2"/>
        </w:numPr>
        <w:jc w:val="both"/>
        <w:rPr>
          <w:b/>
        </w:rPr>
      </w:pPr>
      <w:r>
        <w:rPr>
          <w:b/>
        </w:rPr>
        <w:t>Children age 12 – 23 months Fully Immunized (BCG, measles, and</w:t>
      </w:r>
      <w:r w:rsidR="004B6E93">
        <w:rPr>
          <w:b/>
        </w:rPr>
        <w:t xml:space="preserve"> </w:t>
      </w:r>
      <w:r>
        <w:rPr>
          <w:b/>
        </w:rPr>
        <w:t>3 doses each of Polio and DPT)</w:t>
      </w:r>
      <w:r w:rsidR="004B6E93">
        <w:rPr>
          <w:b/>
        </w:rPr>
        <w:t xml:space="preserve">    </w:t>
      </w:r>
      <w:r>
        <w:rPr>
          <w:b/>
        </w:rPr>
        <w:t xml:space="preserve"> </w:t>
      </w:r>
      <w:r>
        <w:rPr>
          <w:b/>
          <w:bCs/>
        </w:rPr>
        <w:t>( Graph 14</w:t>
      </w:r>
      <w:r w:rsidR="004B6E93">
        <w:rPr>
          <w:b/>
          <w:bCs/>
        </w:rPr>
        <w:t xml:space="preserve"> </w:t>
      </w:r>
      <w:r>
        <w:rPr>
          <w:b/>
          <w:bCs/>
        </w:rPr>
        <w:t>)</w:t>
      </w:r>
      <w:r w:rsidR="004B6E93">
        <w:rPr>
          <w:b/>
          <w:bCs/>
        </w:rPr>
        <w:t xml:space="preserve"> </w:t>
      </w:r>
      <w:r>
        <w:rPr>
          <w:b/>
          <w:bCs/>
        </w:rPr>
        <w:t>:</w:t>
      </w:r>
      <w:r w:rsidR="004B6E93">
        <w:rPr>
          <w:b/>
          <w:bCs/>
        </w:rPr>
        <w:t xml:space="preserve"> </w:t>
      </w:r>
      <w:r w:rsidR="00A829FD" w:rsidRPr="001F63FC">
        <w:rPr>
          <w:bCs/>
        </w:rPr>
        <w:t>This data is not available for Andhra Pradesh and Telangana in NFHS III</w:t>
      </w:r>
      <w:r w:rsidR="00A829FD">
        <w:rPr>
          <w:bCs/>
        </w:rPr>
        <w:t xml:space="preserve">. In </w:t>
      </w:r>
      <w:r w:rsidR="00A829FD">
        <w:t>Andhra Pradesh</w:t>
      </w:r>
      <w:r w:rsidR="00940267">
        <w:t xml:space="preserve">, </w:t>
      </w:r>
      <w:r w:rsidR="00A829FD">
        <w:t>65.3% Children</w:t>
      </w:r>
      <w:r w:rsidR="00940267">
        <w:t xml:space="preserve"> are</w:t>
      </w:r>
      <w:r w:rsidR="00A829FD">
        <w:t xml:space="preserve"> fully immunized as per NFHS IV. In Haryana</w:t>
      </w:r>
      <w:r w:rsidR="00940267">
        <w:t>,</w:t>
      </w:r>
      <w:r w:rsidR="00A829FD">
        <w:t xml:space="preserve"> Children </w:t>
      </w:r>
      <w:r w:rsidR="00940267">
        <w:t xml:space="preserve">who are </w:t>
      </w:r>
      <w:r w:rsidR="00A829FD">
        <w:t xml:space="preserve">fully immunized has </w:t>
      </w:r>
      <w:r w:rsidR="00940267">
        <w:t>decline</w:t>
      </w:r>
      <w:r w:rsidR="00A829FD">
        <w:t xml:space="preserve"> from 65.3% (</w:t>
      </w:r>
      <w:r w:rsidR="00940267">
        <w:t xml:space="preserve"> </w:t>
      </w:r>
      <w:r w:rsidR="00A829FD">
        <w:t>NFHS III</w:t>
      </w:r>
      <w:r w:rsidR="00940267">
        <w:t xml:space="preserve"> </w:t>
      </w:r>
      <w:r w:rsidR="00A829FD">
        <w:t>) to 62.2% (</w:t>
      </w:r>
      <w:r w:rsidR="00940267">
        <w:t xml:space="preserve"> </w:t>
      </w:r>
      <w:r w:rsidR="00A829FD">
        <w:t>NFHS IV</w:t>
      </w:r>
      <w:r w:rsidR="00940267">
        <w:t xml:space="preserve"> </w:t>
      </w:r>
      <w:r w:rsidR="00A829FD">
        <w:t>). In Karnataka,</w:t>
      </w:r>
      <w:r w:rsidR="00961320">
        <w:t xml:space="preserve"> </w:t>
      </w:r>
      <w:r w:rsidR="00940267">
        <w:t>full immunization</w:t>
      </w:r>
      <w:r w:rsidR="00A829FD">
        <w:t xml:space="preserve"> </w:t>
      </w:r>
      <w:r w:rsidR="00961320">
        <w:t xml:space="preserve">in children aged 12 – 23 months </w:t>
      </w:r>
      <w:r w:rsidR="00A829FD">
        <w:t>has gone up from 55% (</w:t>
      </w:r>
      <w:r w:rsidR="00940267">
        <w:t xml:space="preserve"> </w:t>
      </w:r>
      <w:r w:rsidR="00A829FD">
        <w:t>NFHS III</w:t>
      </w:r>
      <w:r w:rsidR="00940267">
        <w:t xml:space="preserve"> </w:t>
      </w:r>
      <w:r w:rsidR="00A829FD">
        <w:t>) to 62.6% (</w:t>
      </w:r>
      <w:r w:rsidR="00940267">
        <w:t xml:space="preserve"> </w:t>
      </w:r>
      <w:r w:rsidR="00A829FD">
        <w:t>NFHS IV</w:t>
      </w:r>
      <w:r w:rsidR="00940267">
        <w:t xml:space="preserve"> </w:t>
      </w:r>
      <w:r w:rsidR="00A829FD">
        <w:t>).</w:t>
      </w:r>
      <w:r w:rsidR="00940267">
        <w:t xml:space="preserve"> </w:t>
      </w:r>
      <w:r w:rsidR="00A829FD">
        <w:t>In Maharashtra, it has gone down from 58.8% (</w:t>
      </w:r>
      <w:r w:rsidR="00961320">
        <w:t xml:space="preserve"> </w:t>
      </w:r>
      <w:r w:rsidR="00A829FD">
        <w:t>NFHS III</w:t>
      </w:r>
      <w:r w:rsidR="00961320">
        <w:t xml:space="preserve"> </w:t>
      </w:r>
      <w:r w:rsidR="00A829FD">
        <w:t>) to 56.3% (</w:t>
      </w:r>
      <w:r w:rsidR="00961320">
        <w:t xml:space="preserve"> </w:t>
      </w:r>
      <w:r w:rsidR="00A829FD">
        <w:t>NFHS IV</w:t>
      </w:r>
      <w:r w:rsidR="00961320">
        <w:t xml:space="preserve"> </w:t>
      </w:r>
      <w:r w:rsidR="00A829FD">
        <w:t>). In Tamil Nadu, it has gone down from 80.9% (</w:t>
      </w:r>
      <w:r w:rsidR="00961320">
        <w:t xml:space="preserve"> </w:t>
      </w:r>
      <w:r w:rsidR="00A829FD">
        <w:t>NFHS III</w:t>
      </w:r>
      <w:r w:rsidR="00961320">
        <w:t xml:space="preserve"> </w:t>
      </w:r>
      <w:r w:rsidR="00A829FD">
        <w:t>) to 69.7% (</w:t>
      </w:r>
      <w:r w:rsidR="00961320">
        <w:t xml:space="preserve"> </w:t>
      </w:r>
      <w:r w:rsidR="00A829FD">
        <w:t>NFHS IV</w:t>
      </w:r>
      <w:r w:rsidR="00961320">
        <w:t xml:space="preserve">  </w:t>
      </w:r>
      <w:r w:rsidR="00A829FD">
        <w:t xml:space="preserve">). Telangana has 68.1% </w:t>
      </w:r>
      <w:r w:rsidR="00961320">
        <w:t>of the c</w:t>
      </w:r>
      <w:r w:rsidR="00A829FD">
        <w:t xml:space="preserve">hildren fully immunized as per NFHS IV. </w:t>
      </w:r>
      <w:r w:rsidR="0084530F">
        <w:t xml:space="preserve">Full Immunization among children age 12-23 months, in </w:t>
      </w:r>
      <w:r w:rsidR="00A829FD">
        <w:t>West Bengal has gone up from 64.3% (</w:t>
      </w:r>
      <w:r w:rsidR="00961320">
        <w:t xml:space="preserve"> </w:t>
      </w:r>
      <w:r w:rsidR="00A829FD">
        <w:t>NFHS III</w:t>
      </w:r>
      <w:r w:rsidR="00961320">
        <w:t xml:space="preserve"> </w:t>
      </w:r>
      <w:r w:rsidR="00A829FD">
        <w:t>) to 84.4% (</w:t>
      </w:r>
      <w:r w:rsidR="00961320">
        <w:t xml:space="preserve"> </w:t>
      </w:r>
      <w:r w:rsidR="00A829FD">
        <w:t>NFHS IV</w:t>
      </w:r>
      <w:r w:rsidR="00961320">
        <w:t xml:space="preserve"> </w:t>
      </w:r>
      <w:r w:rsidR="00A829FD">
        <w:t>)</w:t>
      </w:r>
      <w:r w:rsidR="00961320">
        <w:t>.</w:t>
      </w:r>
    </w:p>
    <w:p w:rsidR="00A829FD" w:rsidRPr="00A829FD" w:rsidRDefault="00A829FD" w:rsidP="00A829FD">
      <w:pPr>
        <w:pStyle w:val="ListParagraph"/>
        <w:rPr>
          <w:b/>
        </w:rPr>
      </w:pPr>
    </w:p>
    <w:p w:rsidR="00A829FD" w:rsidRPr="000E01BC" w:rsidRDefault="00A829FD" w:rsidP="00A829FD">
      <w:pPr>
        <w:pStyle w:val="ListParagraph"/>
        <w:jc w:val="both"/>
        <w:rPr>
          <w:b/>
        </w:rPr>
      </w:pPr>
    </w:p>
    <w:p w:rsidR="00A829FD" w:rsidRPr="00A829FD" w:rsidRDefault="008F3751" w:rsidP="00A829FD">
      <w:pPr>
        <w:pStyle w:val="ListParagraph"/>
        <w:numPr>
          <w:ilvl w:val="0"/>
          <w:numId w:val="2"/>
        </w:numPr>
        <w:jc w:val="both"/>
        <w:rPr>
          <w:b/>
        </w:rPr>
      </w:pPr>
      <w:r>
        <w:rPr>
          <w:b/>
        </w:rPr>
        <w:t xml:space="preserve">Children Under Age 3 years Breastfed within One Hour of Birth </w:t>
      </w:r>
      <w:r>
        <w:rPr>
          <w:b/>
          <w:bCs/>
        </w:rPr>
        <w:t>( Graph 15</w:t>
      </w:r>
      <w:r w:rsidR="004B6E93">
        <w:rPr>
          <w:b/>
          <w:bCs/>
        </w:rPr>
        <w:t xml:space="preserve"> </w:t>
      </w:r>
      <w:r>
        <w:rPr>
          <w:b/>
          <w:bCs/>
        </w:rPr>
        <w:t>)</w:t>
      </w:r>
      <w:r w:rsidR="004B6E93">
        <w:rPr>
          <w:b/>
          <w:bCs/>
        </w:rPr>
        <w:t xml:space="preserve"> </w:t>
      </w:r>
      <w:r>
        <w:rPr>
          <w:b/>
          <w:bCs/>
        </w:rPr>
        <w:t xml:space="preserve">: </w:t>
      </w:r>
      <w:r w:rsidR="00A829FD" w:rsidRPr="001F63FC">
        <w:rPr>
          <w:bCs/>
        </w:rPr>
        <w:t>This data is not available for Andhra Pradesh and Telangana in NFHS III</w:t>
      </w:r>
      <w:r w:rsidR="00A829FD">
        <w:rPr>
          <w:bCs/>
        </w:rPr>
        <w:t xml:space="preserve">. In </w:t>
      </w:r>
      <w:r w:rsidR="00A829FD">
        <w:t>Andhra Pradesh</w:t>
      </w:r>
      <w:r w:rsidR="00245D3D">
        <w:t xml:space="preserve">, </w:t>
      </w:r>
      <w:r w:rsidR="002706C0">
        <w:t>40.1</w:t>
      </w:r>
      <w:r w:rsidR="00245D3D">
        <w:t>% c</w:t>
      </w:r>
      <w:r w:rsidR="00A829FD">
        <w:t>hildren</w:t>
      </w:r>
      <w:r w:rsidR="00245D3D">
        <w:t xml:space="preserve"> are</w:t>
      </w:r>
      <w:r w:rsidR="00A829FD">
        <w:t xml:space="preserve"> breastfed within one hour of birth</w:t>
      </w:r>
      <w:r w:rsidR="00245D3D">
        <w:t xml:space="preserve"> </w:t>
      </w:r>
      <w:r w:rsidR="00A829FD">
        <w:t>as per NFHS IV. In Haryana</w:t>
      </w:r>
      <w:r w:rsidR="00245D3D">
        <w:t>, percentage c</w:t>
      </w:r>
      <w:r w:rsidR="00A829FD">
        <w:t>hildren breastfed within one hour of birth</w:t>
      </w:r>
      <w:r w:rsidR="00245D3D">
        <w:t xml:space="preserve"> </w:t>
      </w:r>
      <w:r w:rsidR="00A829FD">
        <w:t xml:space="preserve">has gone </w:t>
      </w:r>
      <w:r w:rsidR="002706C0">
        <w:t>up</w:t>
      </w:r>
      <w:r w:rsidR="00A829FD">
        <w:t xml:space="preserve"> from </w:t>
      </w:r>
      <w:r w:rsidR="002706C0">
        <w:t>22</w:t>
      </w:r>
      <w:r w:rsidR="00A829FD">
        <w:t>.3% (</w:t>
      </w:r>
      <w:r w:rsidR="00245D3D">
        <w:t xml:space="preserve"> </w:t>
      </w:r>
      <w:r w:rsidR="00A829FD">
        <w:t>NFHS III</w:t>
      </w:r>
      <w:r w:rsidR="00245D3D">
        <w:t xml:space="preserve"> </w:t>
      </w:r>
      <w:r w:rsidR="00A829FD">
        <w:t xml:space="preserve">) to </w:t>
      </w:r>
      <w:r w:rsidR="002706C0">
        <w:t>42.4</w:t>
      </w:r>
      <w:r w:rsidR="00A829FD">
        <w:t>% (</w:t>
      </w:r>
      <w:r w:rsidR="00245D3D">
        <w:t xml:space="preserve"> </w:t>
      </w:r>
      <w:r w:rsidR="00A829FD">
        <w:t>NFHS IV</w:t>
      </w:r>
      <w:r w:rsidR="00245D3D">
        <w:t xml:space="preserve"> </w:t>
      </w:r>
      <w:r w:rsidR="00A829FD">
        <w:t xml:space="preserve">). In Karnataka, it has gone up from </w:t>
      </w:r>
      <w:r w:rsidR="002706C0">
        <w:t>35.6</w:t>
      </w:r>
      <w:r w:rsidR="00A829FD">
        <w:t>% (</w:t>
      </w:r>
      <w:r w:rsidR="00245D3D">
        <w:t xml:space="preserve"> </w:t>
      </w:r>
      <w:r w:rsidR="00A829FD">
        <w:t>NFHS III</w:t>
      </w:r>
      <w:r w:rsidR="00245D3D">
        <w:t xml:space="preserve"> </w:t>
      </w:r>
      <w:r w:rsidR="00A829FD">
        <w:t xml:space="preserve">) to </w:t>
      </w:r>
      <w:r w:rsidR="002706C0">
        <w:t>56.4</w:t>
      </w:r>
      <w:r w:rsidR="00A829FD">
        <w:t>% (</w:t>
      </w:r>
      <w:r w:rsidR="00245D3D">
        <w:t xml:space="preserve"> </w:t>
      </w:r>
      <w:r w:rsidR="00A829FD">
        <w:t>NFHS IV</w:t>
      </w:r>
      <w:r w:rsidR="00245D3D">
        <w:t xml:space="preserve"> </w:t>
      </w:r>
      <w:r w:rsidR="00A829FD">
        <w:t>).</w:t>
      </w:r>
      <w:r w:rsidR="00245D3D">
        <w:t xml:space="preserve"> </w:t>
      </w:r>
      <w:r w:rsidR="00A829FD">
        <w:t xml:space="preserve">In Maharashtra, it has gone </w:t>
      </w:r>
      <w:r w:rsidR="002706C0">
        <w:t>up</w:t>
      </w:r>
      <w:r w:rsidR="00A829FD">
        <w:t xml:space="preserve"> from 5</w:t>
      </w:r>
      <w:r w:rsidR="002706C0">
        <w:t>1</w:t>
      </w:r>
      <w:r w:rsidR="00A829FD">
        <w:t>.8% (</w:t>
      </w:r>
      <w:r w:rsidR="00245D3D">
        <w:t xml:space="preserve"> </w:t>
      </w:r>
      <w:r w:rsidR="00A829FD">
        <w:t>NFHS III</w:t>
      </w:r>
      <w:r w:rsidR="00245D3D">
        <w:t xml:space="preserve"> </w:t>
      </w:r>
      <w:r w:rsidR="00A829FD">
        <w:t xml:space="preserve">) to </w:t>
      </w:r>
      <w:r w:rsidR="002706C0">
        <w:t>57.5</w:t>
      </w:r>
      <w:r w:rsidR="00A829FD">
        <w:t>% (</w:t>
      </w:r>
      <w:r w:rsidR="00245D3D">
        <w:t xml:space="preserve"> </w:t>
      </w:r>
      <w:r w:rsidR="00A829FD">
        <w:t>NFHS IV</w:t>
      </w:r>
      <w:r w:rsidR="00245D3D">
        <w:t xml:space="preserve"> </w:t>
      </w:r>
      <w:r w:rsidR="00A829FD">
        <w:t xml:space="preserve">). In Tamil Nadu, it has gone down from </w:t>
      </w:r>
      <w:r w:rsidR="002706C0">
        <w:t>55.2</w:t>
      </w:r>
      <w:r w:rsidR="00A829FD">
        <w:t>% (</w:t>
      </w:r>
      <w:r w:rsidR="00245D3D">
        <w:t xml:space="preserve"> </w:t>
      </w:r>
      <w:r w:rsidR="00A829FD">
        <w:t>NFHS III</w:t>
      </w:r>
      <w:r w:rsidR="00245D3D">
        <w:t xml:space="preserve"> </w:t>
      </w:r>
      <w:r w:rsidR="00A829FD">
        <w:t xml:space="preserve">) to </w:t>
      </w:r>
      <w:r w:rsidR="00986AAA">
        <w:t>54</w:t>
      </w:r>
      <w:r w:rsidR="00A829FD">
        <w:t>.7% (</w:t>
      </w:r>
      <w:r w:rsidR="00245D3D">
        <w:t xml:space="preserve"> </w:t>
      </w:r>
      <w:r w:rsidR="00A829FD">
        <w:t>NFHS IV</w:t>
      </w:r>
      <w:r w:rsidR="00245D3D">
        <w:t xml:space="preserve"> </w:t>
      </w:r>
      <w:r w:rsidR="00A829FD">
        <w:t xml:space="preserve">). Telangana has </w:t>
      </w:r>
      <w:r w:rsidR="00986AAA">
        <w:t>37.1</w:t>
      </w:r>
      <w:r w:rsidR="00A829FD">
        <w:t>% Children breastfed within one hour of birth</w:t>
      </w:r>
      <w:r w:rsidR="00245D3D">
        <w:t xml:space="preserve"> </w:t>
      </w:r>
      <w:r w:rsidR="00A829FD">
        <w:t>as per NFHS IV.</w:t>
      </w:r>
      <w:r w:rsidR="00986AAA">
        <w:t xml:space="preserve"> In W</w:t>
      </w:r>
      <w:r w:rsidR="00A829FD">
        <w:t>est Bengal</w:t>
      </w:r>
      <w:r w:rsidR="00245D3D">
        <w:t>, children breastfed within one hour of birth,</w:t>
      </w:r>
      <w:r w:rsidR="00A829FD">
        <w:t xml:space="preserve"> has gone up from </w:t>
      </w:r>
      <w:r w:rsidR="00986AAA">
        <w:t>23.7</w:t>
      </w:r>
      <w:r w:rsidR="00A829FD">
        <w:t>% (</w:t>
      </w:r>
      <w:r w:rsidR="00245D3D">
        <w:t xml:space="preserve"> </w:t>
      </w:r>
      <w:r w:rsidR="00A829FD">
        <w:t>NFHS III</w:t>
      </w:r>
      <w:r w:rsidR="00245D3D">
        <w:t xml:space="preserve"> </w:t>
      </w:r>
      <w:r w:rsidR="00A829FD">
        <w:t xml:space="preserve">) to </w:t>
      </w:r>
      <w:r w:rsidR="00986AAA">
        <w:t>47.5</w:t>
      </w:r>
      <w:r w:rsidR="00A829FD">
        <w:t>% (</w:t>
      </w:r>
      <w:r w:rsidR="00245D3D">
        <w:t xml:space="preserve"> </w:t>
      </w:r>
      <w:r w:rsidR="00A829FD">
        <w:t>NFHS IV</w:t>
      </w:r>
      <w:r w:rsidR="00245D3D">
        <w:t xml:space="preserve"> </w:t>
      </w:r>
      <w:r w:rsidR="00A829FD">
        <w:t>)</w:t>
      </w:r>
      <w:r w:rsidR="00245D3D">
        <w:t>.</w:t>
      </w:r>
    </w:p>
    <w:p w:rsidR="00A829FD" w:rsidRPr="00A829FD" w:rsidRDefault="00A829FD" w:rsidP="00A829FD">
      <w:pPr>
        <w:pStyle w:val="ListParagraph"/>
        <w:rPr>
          <w:b/>
        </w:rPr>
      </w:pPr>
    </w:p>
    <w:p w:rsidR="008F3751" w:rsidRPr="007D2960" w:rsidRDefault="008F3751" w:rsidP="0097360A">
      <w:pPr>
        <w:pStyle w:val="ListParagraph"/>
        <w:jc w:val="both"/>
        <w:rPr>
          <w:b/>
        </w:rPr>
      </w:pPr>
    </w:p>
    <w:p w:rsidR="0055693B" w:rsidRPr="00A829FD" w:rsidRDefault="008F3751" w:rsidP="0055693B">
      <w:pPr>
        <w:pStyle w:val="ListParagraph"/>
        <w:numPr>
          <w:ilvl w:val="0"/>
          <w:numId w:val="2"/>
        </w:numPr>
        <w:jc w:val="both"/>
        <w:rPr>
          <w:b/>
        </w:rPr>
      </w:pPr>
      <w:r w:rsidRPr="0048073F">
        <w:rPr>
          <w:b/>
        </w:rPr>
        <w:t xml:space="preserve">Children under 5 years who Are Stunted (Height for age) (- 2SD) </w:t>
      </w:r>
      <w:r w:rsidRPr="0048073F">
        <w:rPr>
          <w:b/>
          <w:bCs/>
        </w:rPr>
        <w:t>( Graph 16</w:t>
      </w:r>
      <w:r w:rsidR="00940267">
        <w:rPr>
          <w:b/>
          <w:bCs/>
        </w:rPr>
        <w:t xml:space="preserve"> </w:t>
      </w:r>
      <w:r w:rsidRPr="0048073F">
        <w:rPr>
          <w:b/>
          <w:bCs/>
        </w:rPr>
        <w:t>)</w:t>
      </w:r>
      <w:r w:rsidR="00940267">
        <w:rPr>
          <w:b/>
          <w:bCs/>
        </w:rPr>
        <w:t xml:space="preserve"> </w:t>
      </w:r>
      <w:r w:rsidRPr="0048073F">
        <w:rPr>
          <w:b/>
          <w:bCs/>
        </w:rPr>
        <w:t xml:space="preserve">: </w:t>
      </w:r>
      <w:r w:rsidR="0055693B" w:rsidRPr="001F63FC">
        <w:rPr>
          <w:bCs/>
        </w:rPr>
        <w:t>This data is not available for Andhra Pradesh and Telangana in NFHS III</w:t>
      </w:r>
      <w:r w:rsidR="0055693B">
        <w:rPr>
          <w:bCs/>
        </w:rPr>
        <w:t xml:space="preserve">. In </w:t>
      </w:r>
      <w:r w:rsidR="0055693B">
        <w:t>Andhra Pradesh</w:t>
      </w:r>
      <w:r w:rsidR="00401D59">
        <w:t xml:space="preserve">, </w:t>
      </w:r>
      <w:r w:rsidR="0055693B">
        <w:t>31.4% Children</w:t>
      </w:r>
      <w:r w:rsidR="00401D59">
        <w:t xml:space="preserve"> under 5 years age</w:t>
      </w:r>
      <w:r w:rsidR="0055693B">
        <w:t xml:space="preserve"> are stunted as per NFHS IV. </w:t>
      </w:r>
      <w:r w:rsidR="00401D59">
        <w:t xml:space="preserve">All the states </w:t>
      </w:r>
      <w:r w:rsidR="00ED2D04">
        <w:t>have</w:t>
      </w:r>
      <w:r w:rsidR="00401D59">
        <w:t xml:space="preserve"> shown improvement in NFHS IV compared to NFHS III. </w:t>
      </w:r>
      <w:r w:rsidR="0055693B">
        <w:t>In Haryana</w:t>
      </w:r>
      <w:r w:rsidR="00401D59">
        <w:t>,</w:t>
      </w:r>
      <w:r w:rsidR="0055693B">
        <w:t xml:space="preserve"> Children who are stunted has gone down from 45.7% (</w:t>
      </w:r>
      <w:r w:rsidR="00ED2D04">
        <w:t xml:space="preserve"> </w:t>
      </w:r>
      <w:r w:rsidR="0055693B">
        <w:t>NFHS III</w:t>
      </w:r>
      <w:r w:rsidR="00ED2D04">
        <w:t xml:space="preserve"> </w:t>
      </w:r>
      <w:r w:rsidR="0055693B">
        <w:t>) to 34% (NFHS IV</w:t>
      </w:r>
      <w:r w:rsidR="00ED2D04">
        <w:t xml:space="preserve"> </w:t>
      </w:r>
      <w:r w:rsidR="0055693B">
        <w:t>). In Karnataka, it has gone down from 43.7% (</w:t>
      </w:r>
      <w:r w:rsidR="00ED2D04">
        <w:t xml:space="preserve"> </w:t>
      </w:r>
      <w:r w:rsidR="0055693B">
        <w:t>NFHS III</w:t>
      </w:r>
      <w:r w:rsidR="00ED2D04">
        <w:t xml:space="preserve"> </w:t>
      </w:r>
      <w:r w:rsidR="0055693B">
        <w:t>) to 36.2% (</w:t>
      </w:r>
      <w:r w:rsidR="00ED2D04">
        <w:t xml:space="preserve"> </w:t>
      </w:r>
      <w:r w:rsidR="0055693B">
        <w:t>NFHS IV</w:t>
      </w:r>
      <w:r w:rsidR="00ED2D04">
        <w:t xml:space="preserve"> </w:t>
      </w:r>
      <w:r w:rsidR="0055693B">
        <w:t>).</w:t>
      </w:r>
      <w:r w:rsidR="00ED2D04">
        <w:t xml:space="preserve"> </w:t>
      </w:r>
      <w:r w:rsidR="0055693B">
        <w:t xml:space="preserve">In </w:t>
      </w:r>
      <w:r w:rsidR="0055693B">
        <w:lastRenderedPageBreak/>
        <w:t>Maharashtra, it has gone down from 46.3% (</w:t>
      </w:r>
      <w:r w:rsidR="00ED2D04">
        <w:t xml:space="preserve"> </w:t>
      </w:r>
      <w:r w:rsidR="0055693B">
        <w:t>NFHS III</w:t>
      </w:r>
      <w:r w:rsidR="00ED2D04">
        <w:t xml:space="preserve"> </w:t>
      </w:r>
      <w:r w:rsidR="0055693B">
        <w:t>) to 34.4% (</w:t>
      </w:r>
      <w:r w:rsidR="00ED2D04">
        <w:t xml:space="preserve"> </w:t>
      </w:r>
      <w:r w:rsidR="0055693B">
        <w:t>NFHS IV</w:t>
      </w:r>
      <w:r w:rsidR="00ED2D04">
        <w:t xml:space="preserve"> </w:t>
      </w:r>
      <w:r w:rsidR="0055693B">
        <w:t>). In Tamil Nadu, it has gone down from 30.9% (</w:t>
      </w:r>
      <w:r w:rsidR="00ED2D04">
        <w:t xml:space="preserve"> </w:t>
      </w:r>
      <w:r w:rsidR="0055693B">
        <w:t>NFHS III</w:t>
      </w:r>
      <w:r w:rsidR="00ED2D04">
        <w:t xml:space="preserve"> </w:t>
      </w:r>
      <w:r w:rsidR="0055693B">
        <w:t>) to 27.1% (</w:t>
      </w:r>
      <w:r w:rsidR="00ED2D04">
        <w:t xml:space="preserve"> </w:t>
      </w:r>
      <w:r w:rsidR="0055693B">
        <w:t>NFHS IV</w:t>
      </w:r>
      <w:r w:rsidR="00ED2D04">
        <w:t xml:space="preserve"> </w:t>
      </w:r>
      <w:r w:rsidR="0055693B">
        <w:t xml:space="preserve">). Telangana has 28.1% Children </w:t>
      </w:r>
      <w:r w:rsidR="00ED2D04">
        <w:t xml:space="preserve">under 5 years age </w:t>
      </w:r>
      <w:r w:rsidR="0055693B">
        <w:t>who</w:t>
      </w:r>
      <w:r w:rsidR="00ED2D04">
        <w:t xml:space="preserve"> are stunted as per NFHS IV. In</w:t>
      </w:r>
      <w:r w:rsidR="0055693B">
        <w:t xml:space="preserve"> West Bengal</w:t>
      </w:r>
      <w:r w:rsidR="00ED2D04">
        <w:t>,</w:t>
      </w:r>
      <w:r w:rsidR="0055693B">
        <w:t xml:space="preserve"> it has gone down from 44.6% (</w:t>
      </w:r>
      <w:r w:rsidR="00ED2D04">
        <w:t xml:space="preserve"> </w:t>
      </w:r>
      <w:r w:rsidR="0055693B">
        <w:t>NFHS III</w:t>
      </w:r>
      <w:r w:rsidR="00ED2D04">
        <w:t xml:space="preserve"> </w:t>
      </w:r>
      <w:r w:rsidR="0055693B">
        <w:t>) to 32.5% (</w:t>
      </w:r>
      <w:r w:rsidR="00ED2D04">
        <w:t xml:space="preserve"> </w:t>
      </w:r>
      <w:r w:rsidR="0055693B">
        <w:t>NFHS IV</w:t>
      </w:r>
      <w:r w:rsidR="00ED2D04">
        <w:t xml:space="preserve"> </w:t>
      </w:r>
      <w:r w:rsidR="0055693B">
        <w:t>)</w:t>
      </w:r>
      <w:r w:rsidR="00ED2D04">
        <w:t>.</w:t>
      </w:r>
    </w:p>
    <w:p w:rsidR="008F3751" w:rsidRDefault="008F3751" w:rsidP="008F3751">
      <w:pPr>
        <w:pStyle w:val="ListParagraph"/>
        <w:jc w:val="both"/>
      </w:pPr>
    </w:p>
    <w:p w:rsidR="008F3751" w:rsidRDefault="008F3751" w:rsidP="008F3751">
      <w:pPr>
        <w:pStyle w:val="ListParagraph"/>
        <w:jc w:val="both"/>
      </w:pPr>
    </w:p>
    <w:p w:rsidR="0055693B" w:rsidRPr="00A829FD" w:rsidRDefault="008F3751" w:rsidP="0055693B">
      <w:pPr>
        <w:pStyle w:val="ListParagraph"/>
        <w:numPr>
          <w:ilvl w:val="0"/>
          <w:numId w:val="2"/>
        </w:numPr>
        <w:jc w:val="both"/>
        <w:rPr>
          <w:b/>
        </w:rPr>
      </w:pPr>
      <w:r w:rsidRPr="004B1EBF">
        <w:rPr>
          <w:b/>
        </w:rPr>
        <w:t xml:space="preserve">Children under 5 years </w:t>
      </w:r>
      <w:r>
        <w:rPr>
          <w:b/>
        </w:rPr>
        <w:t>w</w:t>
      </w:r>
      <w:r w:rsidRPr="004B1EBF">
        <w:rPr>
          <w:b/>
        </w:rPr>
        <w:t>ho Are wasted (weight for Height) (- 2S</w:t>
      </w:r>
      <w:r>
        <w:rPr>
          <w:b/>
        </w:rPr>
        <w:t>D</w:t>
      </w:r>
      <w:r w:rsidRPr="004B1EBF">
        <w:rPr>
          <w:b/>
        </w:rPr>
        <w:t>)</w:t>
      </w:r>
      <w:r w:rsidR="008A4D9B">
        <w:rPr>
          <w:b/>
        </w:rPr>
        <w:t xml:space="preserve"> </w:t>
      </w:r>
      <w:r>
        <w:rPr>
          <w:b/>
          <w:bCs/>
        </w:rPr>
        <w:t>( Graph 17</w:t>
      </w:r>
      <w:r w:rsidR="008A4D9B">
        <w:rPr>
          <w:b/>
          <w:bCs/>
        </w:rPr>
        <w:t xml:space="preserve"> </w:t>
      </w:r>
      <w:r>
        <w:rPr>
          <w:b/>
          <w:bCs/>
        </w:rPr>
        <w:t>)</w:t>
      </w:r>
      <w:r w:rsidR="008A4D9B">
        <w:rPr>
          <w:b/>
          <w:bCs/>
        </w:rPr>
        <w:t xml:space="preserve"> </w:t>
      </w:r>
      <w:r>
        <w:rPr>
          <w:b/>
          <w:bCs/>
        </w:rPr>
        <w:t xml:space="preserve">: </w:t>
      </w:r>
      <w:r w:rsidR="0055693B" w:rsidRPr="001F63FC">
        <w:rPr>
          <w:bCs/>
        </w:rPr>
        <w:t>This data is not available for Andhra Pradesh and Telangana in NFHS III</w:t>
      </w:r>
      <w:r w:rsidR="00134D25">
        <w:rPr>
          <w:bCs/>
        </w:rPr>
        <w:t>.</w:t>
      </w:r>
      <w:r w:rsidR="0055693B">
        <w:rPr>
          <w:bCs/>
        </w:rPr>
        <w:t xml:space="preserve"> In </w:t>
      </w:r>
      <w:r w:rsidR="0055693B">
        <w:t>Andhra Pradesh</w:t>
      </w:r>
      <w:r w:rsidR="00134D25">
        <w:t>,</w:t>
      </w:r>
      <w:r w:rsidR="0055693B">
        <w:t xml:space="preserve"> </w:t>
      </w:r>
      <w:r w:rsidR="00A5193E">
        <w:t>17.2</w:t>
      </w:r>
      <w:r w:rsidR="0055693B">
        <w:t>%</w:t>
      </w:r>
      <w:r w:rsidR="00134D25">
        <w:t xml:space="preserve"> of the c</w:t>
      </w:r>
      <w:r w:rsidR="0055693B">
        <w:t>hildren are wasted as per NFHS IV. In Haryana</w:t>
      </w:r>
      <w:r w:rsidR="00134D25">
        <w:t xml:space="preserve">, wasting among children </w:t>
      </w:r>
      <w:r w:rsidR="0055693B">
        <w:t xml:space="preserve">has gone </w:t>
      </w:r>
      <w:r w:rsidR="00A5193E">
        <w:t>up</w:t>
      </w:r>
      <w:r w:rsidR="0055693B">
        <w:t xml:space="preserve"> from </w:t>
      </w:r>
      <w:r w:rsidR="00A5193E">
        <w:t>19.1</w:t>
      </w:r>
      <w:r w:rsidR="0055693B">
        <w:t>% (</w:t>
      </w:r>
      <w:r w:rsidR="00134D25">
        <w:t xml:space="preserve"> </w:t>
      </w:r>
      <w:r w:rsidR="0055693B">
        <w:t>NFHS III</w:t>
      </w:r>
      <w:r w:rsidR="00134D25">
        <w:t xml:space="preserve"> </w:t>
      </w:r>
      <w:r w:rsidR="0055693B">
        <w:t xml:space="preserve">) to </w:t>
      </w:r>
      <w:r w:rsidR="00A5193E">
        <w:t>21.1</w:t>
      </w:r>
      <w:r w:rsidR="0055693B">
        <w:t>% (</w:t>
      </w:r>
      <w:r w:rsidR="00134D25">
        <w:t xml:space="preserve"> </w:t>
      </w:r>
      <w:r w:rsidR="0055693B">
        <w:t>NFHS IV</w:t>
      </w:r>
      <w:r w:rsidR="00134D25">
        <w:t xml:space="preserve"> </w:t>
      </w:r>
      <w:r w:rsidR="0055693B">
        <w:t xml:space="preserve">). In Karnataka, it has gone </w:t>
      </w:r>
      <w:r w:rsidR="00A5193E">
        <w:t>up</w:t>
      </w:r>
      <w:r w:rsidR="0055693B">
        <w:t xml:space="preserve"> from </w:t>
      </w:r>
      <w:r w:rsidR="00A5193E">
        <w:t>17.6</w:t>
      </w:r>
      <w:r w:rsidR="0055693B">
        <w:t>% (</w:t>
      </w:r>
      <w:r w:rsidR="00134D25">
        <w:t xml:space="preserve"> </w:t>
      </w:r>
      <w:r w:rsidR="0055693B">
        <w:t>NFHS III</w:t>
      </w:r>
      <w:r w:rsidR="00134D25">
        <w:t xml:space="preserve"> </w:t>
      </w:r>
      <w:r w:rsidR="0055693B">
        <w:t xml:space="preserve">) to </w:t>
      </w:r>
      <w:r w:rsidR="00A5193E">
        <w:t>26.1</w:t>
      </w:r>
      <w:r w:rsidR="0055693B">
        <w:t>% (</w:t>
      </w:r>
      <w:r w:rsidR="00134D25">
        <w:t xml:space="preserve"> </w:t>
      </w:r>
      <w:r w:rsidR="0055693B">
        <w:t>NFHS IV</w:t>
      </w:r>
      <w:r w:rsidR="00134D25">
        <w:t xml:space="preserve"> </w:t>
      </w:r>
      <w:r w:rsidR="0055693B">
        <w:t>).</w:t>
      </w:r>
      <w:r w:rsidR="00134D25">
        <w:t xml:space="preserve"> </w:t>
      </w:r>
      <w:r w:rsidR="0055693B">
        <w:t xml:space="preserve">In Maharashtra, it has gone </w:t>
      </w:r>
      <w:r w:rsidR="00A5193E">
        <w:t>up</w:t>
      </w:r>
      <w:r w:rsidR="0055693B">
        <w:t xml:space="preserve"> from </w:t>
      </w:r>
      <w:r w:rsidR="00A5193E">
        <w:t>16.5</w:t>
      </w:r>
      <w:r w:rsidR="0055693B">
        <w:t>% (</w:t>
      </w:r>
      <w:r w:rsidR="00134D25">
        <w:t xml:space="preserve"> </w:t>
      </w:r>
      <w:r w:rsidR="0055693B">
        <w:t>NFHS III</w:t>
      </w:r>
      <w:r w:rsidR="00134D25">
        <w:t xml:space="preserve"> </w:t>
      </w:r>
      <w:r w:rsidR="0055693B">
        <w:t xml:space="preserve">) to </w:t>
      </w:r>
      <w:r w:rsidR="00A5193E">
        <w:t>25.6</w:t>
      </w:r>
      <w:r w:rsidR="0055693B">
        <w:t>% (</w:t>
      </w:r>
      <w:r w:rsidR="00134D25">
        <w:t xml:space="preserve"> </w:t>
      </w:r>
      <w:r w:rsidR="0055693B">
        <w:t>NFHS IV</w:t>
      </w:r>
      <w:r w:rsidR="00134D25">
        <w:t xml:space="preserve"> </w:t>
      </w:r>
      <w:r w:rsidR="0055693B">
        <w:t xml:space="preserve">). In Tamil Nadu, it has </w:t>
      </w:r>
      <w:r w:rsidR="00134D25">
        <w:t xml:space="preserve">decline </w:t>
      </w:r>
      <w:r w:rsidR="0055693B">
        <w:t xml:space="preserve">from </w:t>
      </w:r>
      <w:r w:rsidR="00A5193E">
        <w:t>22.2</w:t>
      </w:r>
      <w:r w:rsidR="0055693B">
        <w:t>% (</w:t>
      </w:r>
      <w:r w:rsidR="00134D25">
        <w:t xml:space="preserve"> </w:t>
      </w:r>
      <w:r w:rsidR="0055693B">
        <w:t>NFHS III</w:t>
      </w:r>
      <w:r w:rsidR="00134D25">
        <w:t xml:space="preserve"> </w:t>
      </w:r>
      <w:r w:rsidR="0055693B">
        <w:t xml:space="preserve">) to </w:t>
      </w:r>
      <w:r w:rsidR="00A5193E">
        <w:t>19.7</w:t>
      </w:r>
      <w:r w:rsidR="0055693B">
        <w:t>% (</w:t>
      </w:r>
      <w:r w:rsidR="00134D25">
        <w:t xml:space="preserve"> </w:t>
      </w:r>
      <w:r w:rsidR="0055693B">
        <w:t>NFHS IV</w:t>
      </w:r>
      <w:r w:rsidR="00134D25">
        <w:t xml:space="preserve"> </w:t>
      </w:r>
      <w:r w:rsidR="0055693B">
        <w:t xml:space="preserve">). </w:t>
      </w:r>
      <w:r w:rsidR="00134D25">
        <w:t xml:space="preserve">In </w:t>
      </w:r>
      <w:r w:rsidR="0055693B">
        <w:t xml:space="preserve">Telangana </w:t>
      </w:r>
      <w:r w:rsidR="00A5193E">
        <w:t>18</w:t>
      </w:r>
      <w:r w:rsidR="0055693B">
        <w:t xml:space="preserve">% </w:t>
      </w:r>
      <w:r w:rsidR="00134D25">
        <w:t xml:space="preserve">of the children under 5years age are wasted as per NFHS IV. In </w:t>
      </w:r>
      <w:r w:rsidR="0055693B">
        <w:t>West Bengal</w:t>
      </w:r>
      <w:r w:rsidR="00134D25">
        <w:t>,</w:t>
      </w:r>
      <w:r w:rsidR="0055693B">
        <w:t xml:space="preserve"> </w:t>
      </w:r>
      <w:r w:rsidR="00134D25">
        <w:t>wasting among children</w:t>
      </w:r>
      <w:r w:rsidR="0055693B">
        <w:t xml:space="preserve"> has gone </w:t>
      </w:r>
      <w:r w:rsidR="00A5193E">
        <w:t xml:space="preserve">up </w:t>
      </w:r>
      <w:r w:rsidR="0055693B">
        <w:t xml:space="preserve">from </w:t>
      </w:r>
      <w:r w:rsidR="00A5193E">
        <w:t>16.9</w:t>
      </w:r>
      <w:r w:rsidR="0055693B">
        <w:t>% (NFHS III</w:t>
      </w:r>
      <w:r w:rsidR="00134D25">
        <w:t xml:space="preserve"> </w:t>
      </w:r>
      <w:r w:rsidR="0055693B">
        <w:t xml:space="preserve">) to </w:t>
      </w:r>
      <w:r w:rsidR="00A5193E">
        <w:t>20.3</w:t>
      </w:r>
      <w:r w:rsidR="0055693B">
        <w:t>% (</w:t>
      </w:r>
      <w:r w:rsidR="00134D25">
        <w:t xml:space="preserve"> </w:t>
      </w:r>
      <w:r w:rsidR="0055693B">
        <w:t>NFHS IV</w:t>
      </w:r>
      <w:r w:rsidR="00134D25">
        <w:t xml:space="preserve"> </w:t>
      </w:r>
      <w:r w:rsidR="0055693B">
        <w:t>)</w:t>
      </w:r>
      <w:r w:rsidR="00134D25">
        <w:t>.</w:t>
      </w:r>
    </w:p>
    <w:p w:rsidR="008F3751" w:rsidRPr="004B1EBF" w:rsidRDefault="008F3751" w:rsidP="008F3751">
      <w:pPr>
        <w:pStyle w:val="ListParagraph"/>
        <w:jc w:val="both"/>
        <w:rPr>
          <w:b/>
        </w:rPr>
      </w:pPr>
    </w:p>
    <w:p w:rsidR="008F3751" w:rsidRPr="004B1EBF" w:rsidRDefault="008F3751" w:rsidP="008F3751">
      <w:pPr>
        <w:pStyle w:val="ListParagraph"/>
        <w:jc w:val="both"/>
        <w:rPr>
          <w:b/>
        </w:rPr>
      </w:pPr>
    </w:p>
    <w:p w:rsidR="00BE0024" w:rsidRPr="00A829FD" w:rsidRDefault="008F3751" w:rsidP="00BE0024">
      <w:pPr>
        <w:pStyle w:val="ListParagraph"/>
        <w:numPr>
          <w:ilvl w:val="0"/>
          <w:numId w:val="2"/>
        </w:numPr>
        <w:jc w:val="both"/>
        <w:rPr>
          <w:b/>
        </w:rPr>
      </w:pPr>
      <w:r w:rsidRPr="001C4639">
        <w:rPr>
          <w:b/>
        </w:rPr>
        <w:t>Children under 5 years who are severely wasted (weight for Height) (- 3SD)</w:t>
      </w:r>
      <w:r w:rsidR="0059111C">
        <w:rPr>
          <w:b/>
        </w:rPr>
        <w:t xml:space="preserve"> </w:t>
      </w:r>
      <w:r w:rsidRPr="001C4639">
        <w:rPr>
          <w:b/>
          <w:bCs/>
        </w:rPr>
        <w:t>( Graph 18</w:t>
      </w:r>
      <w:r w:rsidR="0059111C">
        <w:rPr>
          <w:b/>
          <w:bCs/>
        </w:rPr>
        <w:t xml:space="preserve"> </w:t>
      </w:r>
      <w:r w:rsidRPr="001C4639">
        <w:rPr>
          <w:b/>
          <w:bCs/>
        </w:rPr>
        <w:t>)</w:t>
      </w:r>
      <w:r w:rsidR="0059111C">
        <w:rPr>
          <w:b/>
          <w:bCs/>
        </w:rPr>
        <w:t xml:space="preserve"> </w:t>
      </w:r>
      <w:r w:rsidRPr="001C4639">
        <w:rPr>
          <w:b/>
          <w:bCs/>
        </w:rPr>
        <w:t xml:space="preserve">: </w:t>
      </w:r>
      <w:r w:rsidR="00BE0024" w:rsidRPr="001F63FC">
        <w:rPr>
          <w:bCs/>
        </w:rPr>
        <w:t>This data is not available for Andhra Pradesh and Telangana in NFHS III</w:t>
      </w:r>
      <w:r w:rsidR="00BE0024">
        <w:rPr>
          <w:bCs/>
        </w:rPr>
        <w:t xml:space="preserve">. In </w:t>
      </w:r>
      <w:r w:rsidR="00BE0024">
        <w:t>Andhra Pradesh</w:t>
      </w:r>
      <w:r w:rsidR="00B6145A">
        <w:t>,</w:t>
      </w:r>
      <w:r w:rsidR="00BE0024">
        <w:t xml:space="preserve"> 4.5% </w:t>
      </w:r>
      <w:r w:rsidR="00B6145A">
        <w:t>of the Children</w:t>
      </w:r>
      <w:r w:rsidR="00BE0024">
        <w:t xml:space="preserve"> are severely wasted as per NFHS IV. In Haryana</w:t>
      </w:r>
      <w:r w:rsidR="00B6145A">
        <w:t>, severe wasting among children</w:t>
      </w:r>
      <w:r w:rsidR="00BE0024">
        <w:t xml:space="preserve"> has gone up from 5% (</w:t>
      </w:r>
      <w:r w:rsidR="00B6145A">
        <w:t xml:space="preserve"> </w:t>
      </w:r>
      <w:r w:rsidR="00BE0024">
        <w:t>NFHS III</w:t>
      </w:r>
      <w:r w:rsidR="00B6145A">
        <w:t xml:space="preserve"> </w:t>
      </w:r>
      <w:r w:rsidR="00BE0024">
        <w:t xml:space="preserve">) to </w:t>
      </w:r>
      <w:r w:rsidR="00171892">
        <w:t>9</w:t>
      </w:r>
      <w:r w:rsidR="00BE0024">
        <w:t>% (</w:t>
      </w:r>
      <w:r w:rsidR="00B6145A">
        <w:t xml:space="preserve"> </w:t>
      </w:r>
      <w:r w:rsidR="00BE0024">
        <w:t>NFHS IV</w:t>
      </w:r>
      <w:r w:rsidR="00B6145A">
        <w:t xml:space="preserve"> </w:t>
      </w:r>
      <w:r w:rsidR="00BE0024">
        <w:t xml:space="preserve">). In Karnataka, it has gone up from </w:t>
      </w:r>
      <w:r w:rsidR="00171892">
        <w:t>5.9</w:t>
      </w:r>
      <w:r w:rsidR="00BE0024">
        <w:t>% (</w:t>
      </w:r>
      <w:r w:rsidR="00B6145A">
        <w:t xml:space="preserve"> </w:t>
      </w:r>
      <w:r w:rsidR="00BE0024">
        <w:t>NFHS III</w:t>
      </w:r>
      <w:r w:rsidR="00B6145A">
        <w:t xml:space="preserve"> </w:t>
      </w:r>
      <w:r w:rsidR="00BE0024">
        <w:t xml:space="preserve">) to </w:t>
      </w:r>
      <w:r w:rsidR="00171892">
        <w:t>10.5</w:t>
      </w:r>
      <w:r w:rsidR="00BE0024">
        <w:t>% (NFHS IV</w:t>
      </w:r>
      <w:r w:rsidR="00B6145A">
        <w:t xml:space="preserve"> </w:t>
      </w:r>
      <w:r w:rsidR="00BE0024">
        <w:t>).</w:t>
      </w:r>
      <w:r w:rsidR="00B6145A">
        <w:t xml:space="preserve"> </w:t>
      </w:r>
      <w:r w:rsidR="00BE0024">
        <w:t xml:space="preserve">In Maharashtra, it has gone up from </w:t>
      </w:r>
      <w:r w:rsidR="00171892">
        <w:t>5.2</w:t>
      </w:r>
      <w:r w:rsidR="00BE0024">
        <w:t>% (</w:t>
      </w:r>
      <w:r w:rsidR="00B6145A">
        <w:t xml:space="preserve"> </w:t>
      </w:r>
      <w:r w:rsidR="00BE0024">
        <w:t>NFHS III</w:t>
      </w:r>
      <w:r w:rsidR="00B6145A">
        <w:t xml:space="preserve"> </w:t>
      </w:r>
      <w:r w:rsidR="00BE0024">
        <w:t xml:space="preserve">) to </w:t>
      </w:r>
      <w:r w:rsidR="00171892">
        <w:t>9.4</w:t>
      </w:r>
      <w:r w:rsidR="00BE0024">
        <w:t>% (</w:t>
      </w:r>
      <w:r w:rsidR="00B6145A">
        <w:t xml:space="preserve"> </w:t>
      </w:r>
      <w:r w:rsidR="00BE0024">
        <w:t>NFHS IV</w:t>
      </w:r>
      <w:r w:rsidR="00B6145A">
        <w:t xml:space="preserve"> </w:t>
      </w:r>
      <w:r w:rsidR="00BE0024">
        <w:t xml:space="preserve">). In Tamil Nadu, it has gone down from </w:t>
      </w:r>
      <w:r w:rsidR="00171892">
        <w:t>8.9</w:t>
      </w:r>
      <w:r w:rsidR="00BE0024">
        <w:t>% (</w:t>
      </w:r>
      <w:r w:rsidR="00B6145A">
        <w:t xml:space="preserve"> </w:t>
      </w:r>
      <w:r w:rsidR="00BE0024">
        <w:t>NFHS III</w:t>
      </w:r>
      <w:r w:rsidR="00B6145A">
        <w:t xml:space="preserve"> </w:t>
      </w:r>
      <w:r w:rsidR="00BE0024">
        <w:t xml:space="preserve">) to </w:t>
      </w:r>
      <w:r w:rsidR="00171892">
        <w:t>7.9</w:t>
      </w:r>
      <w:r w:rsidR="00BE0024">
        <w:t>% (</w:t>
      </w:r>
      <w:r w:rsidR="00B6145A">
        <w:t xml:space="preserve"> </w:t>
      </w:r>
      <w:r w:rsidR="00BE0024">
        <w:t>NFHS IV</w:t>
      </w:r>
      <w:r w:rsidR="00B6145A">
        <w:t xml:space="preserve"> </w:t>
      </w:r>
      <w:r w:rsidR="00BE0024">
        <w:t xml:space="preserve">). Telangana has </w:t>
      </w:r>
      <w:r w:rsidR="00171892">
        <w:t>4.8</w:t>
      </w:r>
      <w:r w:rsidR="00BE0024">
        <w:t>% Children who are seve</w:t>
      </w:r>
      <w:r w:rsidR="00B6145A">
        <w:t xml:space="preserve">rely wasted as per NFHS IV. In </w:t>
      </w:r>
      <w:r w:rsidR="00BE0024">
        <w:t>West Bengal</w:t>
      </w:r>
      <w:r w:rsidR="00B6145A">
        <w:t>,</w:t>
      </w:r>
      <w:r w:rsidR="00BE0024">
        <w:t xml:space="preserve"> </w:t>
      </w:r>
      <w:r w:rsidR="00B6145A">
        <w:t>severe wasting among children</w:t>
      </w:r>
      <w:r w:rsidR="00BE0024">
        <w:t xml:space="preserve"> has gone up from </w:t>
      </w:r>
      <w:r w:rsidR="00171892">
        <w:t>4.5</w:t>
      </w:r>
      <w:r w:rsidR="00BE0024">
        <w:t>% (</w:t>
      </w:r>
      <w:r w:rsidR="00B6145A">
        <w:t xml:space="preserve"> </w:t>
      </w:r>
      <w:r w:rsidR="00BE0024">
        <w:t>NFHS III</w:t>
      </w:r>
      <w:r w:rsidR="00B6145A">
        <w:t xml:space="preserve"> </w:t>
      </w:r>
      <w:r w:rsidR="00BE0024">
        <w:t xml:space="preserve">) to </w:t>
      </w:r>
      <w:r w:rsidR="00171892">
        <w:t>6.5</w:t>
      </w:r>
      <w:r w:rsidR="00BE0024">
        <w:t>% (</w:t>
      </w:r>
      <w:r w:rsidR="00B6145A">
        <w:t xml:space="preserve"> </w:t>
      </w:r>
      <w:r w:rsidR="00BE0024">
        <w:t>NFHS IV</w:t>
      </w:r>
      <w:r w:rsidR="00B6145A">
        <w:t xml:space="preserve"> </w:t>
      </w:r>
      <w:r w:rsidR="00BE0024">
        <w:t>)</w:t>
      </w:r>
      <w:r w:rsidR="00B6145A">
        <w:t>.</w:t>
      </w:r>
    </w:p>
    <w:p w:rsidR="008F3751" w:rsidRDefault="008F3751" w:rsidP="00BE0024">
      <w:pPr>
        <w:pStyle w:val="ListParagraph"/>
        <w:jc w:val="both"/>
      </w:pPr>
    </w:p>
    <w:p w:rsidR="00B6145A" w:rsidRDefault="00B6145A" w:rsidP="00BE0024">
      <w:pPr>
        <w:pStyle w:val="ListParagraph"/>
        <w:jc w:val="both"/>
      </w:pPr>
    </w:p>
    <w:p w:rsidR="00721FDA" w:rsidRPr="00A829FD" w:rsidRDefault="008F3751" w:rsidP="00721FDA">
      <w:pPr>
        <w:pStyle w:val="ListParagraph"/>
        <w:numPr>
          <w:ilvl w:val="0"/>
          <w:numId w:val="2"/>
        </w:numPr>
        <w:jc w:val="both"/>
        <w:rPr>
          <w:b/>
        </w:rPr>
      </w:pPr>
      <w:r>
        <w:rPr>
          <w:b/>
        </w:rPr>
        <w:t>Children under 5 years who Are Underweight (weight for age) (- 2SD)</w:t>
      </w:r>
      <w:r w:rsidR="008E77DD">
        <w:rPr>
          <w:b/>
        </w:rPr>
        <w:t xml:space="preserve"> </w:t>
      </w:r>
      <w:r w:rsidR="00721FDA">
        <w:rPr>
          <w:b/>
          <w:bCs/>
        </w:rPr>
        <w:t>(</w:t>
      </w:r>
      <w:r w:rsidR="008E77DD">
        <w:rPr>
          <w:b/>
          <w:bCs/>
        </w:rPr>
        <w:t xml:space="preserve"> </w:t>
      </w:r>
      <w:r w:rsidR="00721FDA">
        <w:rPr>
          <w:b/>
          <w:bCs/>
        </w:rPr>
        <w:t>Graph</w:t>
      </w:r>
      <w:r>
        <w:rPr>
          <w:b/>
          <w:bCs/>
        </w:rPr>
        <w:t xml:space="preserve"> 19</w:t>
      </w:r>
      <w:r w:rsidR="008E77DD">
        <w:rPr>
          <w:b/>
          <w:bCs/>
        </w:rPr>
        <w:t xml:space="preserve"> </w:t>
      </w:r>
      <w:r>
        <w:rPr>
          <w:b/>
          <w:bCs/>
        </w:rPr>
        <w:t>)</w:t>
      </w:r>
      <w:r w:rsidR="008E77DD">
        <w:rPr>
          <w:b/>
          <w:bCs/>
        </w:rPr>
        <w:t xml:space="preserve"> :</w:t>
      </w:r>
      <w:r>
        <w:rPr>
          <w:b/>
        </w:rPr>
        <w:t xml:space="preserve"> </w:t>
      </w:r>
      <w:r w:rsidR="00721FDA" w:rsidRPr="001F63FC">
        <w:rPr>
          <w:bCs/>
        </w:rPr>
        <w:t>This data is not available for Andhra Pradesh and Telangana in NFHS III</w:t>
      </w:r>
      <w:r w:rsidR="00721FDA">
        <w:rPr>
          <w:bCs/>
        </w:rPr>
        <w:t xml:space="preserve">. </w:t>
      </w:r>
      <w:r w:rsidR="008E77DD">
        <w:rPr>
          <w:bCs/>
        </w:rPr>
        <w:t xml:space="preserve">In all of the non high focus large states, percentage underweight children under 5 years of age, has reduced. </w:t>
      </w:r>
      <w:r w:rsidR="00721FDA">
        <w:rPr>
          <w:bCs/>
        </w:rPr>
        <w:t xml:space="preserve">In </w:t>
      </w:r>
      <w:r w:rsidR="00721FDA">
        <w:t>Andhra Pradesh</w:t>
      </w:r>
      <w:r w:rsidR="008E77DD">
        <w:t>,</w:t>
      </w:r>
      <w:r w:rsidR="00721FDA">
        <w:t xml:space="preserve"> 31.9%</w:t>
      </w:r>
      <w:r w:rsidR="008E77DD">
        <w:t xml:space="preserve"> of the c</w:t>
      </w:r>
      <w:r w:rsidR="00721FDA">
        <w:t>hildren are underweight as per NFHS IV. In Haryana</w:t>
      </w:r>
      <w:r w:rsidR="008E77DD">
        <w:t>,</w:t>
      </w:r>
      <w:r w:rsidR="00721FDA">
        <w:t xml:space="preserve"> Children who are underweight has gone down from 39.6% (</w:t>
      </w:r>
      <w:r w:rsidR="008E77DD">
        <w:t xml:space="preserve"> </w:t>
      </w:r>
      <w:r w:rsidR="00721FDA">
        <w:t>NFHS III</w:t>
      </w:r>
      <w:r w:rsidR="008E77DD">
        <w:t xml:space="preserve"> </w:t>
      </w:r>
      <w:r w:rsidR="00721FDA">
        <w:t>) to 29.4% (</w:t>
      </w:r>
      <w:r w:rsidR="008E77DD">
        <w:t xml:space="preserve"> </w:t>
      </w:r>
      <w:r w:rsidR="00721FDA">
        <w:t>NFHS IV</w:t>
      </w:r>
      <w:r w:rsidR="008E77DD">
        <w:t xml:space="preserve"> </w:t>
      </w:r>
      <w:r w:rsidR="00721FDA">
        <w:t>). In Karnataka, it has gone down from 37.6% (</w:t>
      </w:r>
      <w:r w:rsidR="008E77DD">
        <w:t xml:space="preserve"> </w:t>
      </w:r>
      <w:r w:rsidR="00721FDA">
        <w:t>NFHS III</w:t>
      </w:r>
      <w:r w:rsidR="008E77DD">
        <w:t xml:space="preserve"> </w:t>
      </w:r>
      <w:r w:rsidR="00721FDA">
        <w:t>) to 35.2% (</w:t>
      </w:r>
      <w:r w:rsidR="008E77DD">
        <w:t xml:space="preserve">  </w:t>
      </w:r>
      <w:r w:rsidR="00721FDA">
        <w:t>NFHS IV</w:t>
      </w:r>
      <w:r w:rsidR="008E77DD">
        <w:t xml:space="preserve"> </w:t>
      </w:r>
      <w:r w:rsidR="00721FDA">
        <w:t>).</w:t>
      </w:r>
      <w:r w:rsidR="008E77DD">
        <w:t xml:space="preserve"> </w:t>
      </w:r>
      <w:r w:rsidR="00721FDA">
        <w:t>In Maharashtra, it has gone down from 37% (</w:t>
      </w:r>
      <w:r w:rsidR="008E77DD">
        <w:t xml:space="preserve"> </w:t>
      </w:r>
      <w:r w:rsidR="00721FDA">
        <w:t>NFHS III</w:t>
      </w:r>
      <w:r w:rsidR="008E77DD">
        <w:t xml:space="preserve"> </w:t>
      </w:r>
      <w:r w:rsidR="00721FDA">
        <w:t>) to 36% (</w:t>
      </w:r>
      <w:r w:rsidR="008E77DD">
        <w:t xml:space="preserve"> </w:t>
      </w:r>
      <w:r w:rsidR="00721FDA">
        <w:t>NFHS IV</w:t>
      </w:r>
      <w:r w:rsidR="008E77DD">
        <w:t xml:space="preserve"> </w:t>
      </w:r>
      <w:r w:rsidR="00721FDA">
        <w:t>). In Tamil Nadu, it has gone down from 29.8% (</w:t>
      </w:r>
      <w:r w:rsidR="008E77DD">
        <w:t xml:space="preserve"> </w:t>
      </w:r>
      <w:r w:rsidR="00721FDA">
        <w:t>NFHS III</w:t>
      </w:r>
      <w:r w:rsidR="008E77DD">
        <w:t xml:space="preserve"> </w:t>
      </w:r>
      <w:r w:rsidR="00721FDA">
        <w:t>) to 23.8% (</w:t>
      </w:r>
      <w:r w:rsidR="008E77DD">
        <w:t xml:space="preserve"> </w:t>
      </w:r>
      <w:r w:rsidR="00721FDA">
        <w:t>NFHS IV</w:t>
      </w:r>
      <w:r w:rsidR="008E77DD">
        <w:t xml:space="preserve"> </w:t>
      </w:r>
      <w:r w:rsidR="00721FDA">
        <w:t xml:space="preserve">). Telangana has </w:t>
      </w:r>
      <w:r w:rsidR="00FC6B52">
        <w:t>28.5</w:t>
      </w:r>
      <w:r w:rsidR="00721FDA">
        <w:t xml:space="preserve">% Children who are underweight as per NFHS IV. In  West Bengal it has gone </w:t>
      </w:r>
      <w:r w:rsidR="00FC6B52">
        <w:t>down</w:t>
      </w:r>
      <w:r w:rsidR="00721FDA">
        <w:t xml:space="preserve"> from </w:t>
      </w:r>
      <w:r w:rsidR="00FC6B52">
        <w:t>38.7</w:t>
      </w:r>
      <w:r w:rsidR="00721FDA">
        <w:t>% (</w:t>
      </w:r>
      <w:r w:rsidR="008E77DD">
        <w:t xml:space="preserve"> </w:t>
      </w:r>
      <w:r w:rsidR="00721FDA">
        <w:t xml:space="preserve">NFHS III) to </w:t>
      </w:r>
      <w:r w:rsidR="00FC6B52">
        <w:t>31.5</w:t>
      </w:r>
      <w:r w:rsidR="00721FDA">
        <w:t>% (</w:t>
      </w:r>
      <w:r w:rsidR="008E77DD">
        <w:t xml:space="preserve"> </w:t>
      </w:r>
      <w:r w:rsidR="00721FDA">
        <w:t>NFHS IV</w:t>
      </w:r>
      <w:r w:rsidR="008E77DD">
        <w:t xml:space="preserve"> </w:t>
      </w:r>
      <w:r w:rsidR="00721FDA">
        <w:t>)</w:t>
      </w:r>
      <w:r w:rsidR="008E77DD">
        <w:t>.</w:t>
      </w:r>
    </w:p>
    <w:p w:rsidR="008F3751" w:rsidRDefault="008F3751" w:rsidP="00AF4614">
      <w:pPr>
        <w:pStyle w:val="ListParagraph"/>
        <w:jc w:val="both"/>
      </w:pPr>
    </w:p>
    <w:p w:rsidR="008F3751" w:rsidRDefault="008F3751" w:rsidP="008F3751">
      <w:pPr>
        <w:pStyle w:val="ListParagraph"/>
        <w:jc w:val="both"/>
      </w:pPr>
    </w:p>
    <w:p w:rsidR="008F3751" w:rsidRPr="00077AD5" w:rsidRDefault="008F3751" w:rsidP="00077AD5">
      <w:pPr>
        <w:pStyle w:val="ListParagraph"/>
        <w:numPr>
          <w:ilvl w:val="0"/>
          <w:numId w:val="2"/>
        </w:numPr>
        <w:jc w:val="both"/>
        <w:rPr>
          <w:b/>
        </w:rPr>
      </w:pPr>
      <w:r w:rsidRPr="002F448F">
        <w:rPr>
          <w:b/>
        </w:rPr>
        <w:t>Children age 6-59 months who are anaemic (&lt;11.0 g/dl)</w:t>
      </w:r>
      <w:r w:rsidR="008E77DD">
        <w:rPr>
          <w:b/>
        </w:rPr>
        <w:t xml:space="preserve"> </w:t>
      </w:r>
      <w:r>
        <w:rPr>
          <w:b/>
          <w:bCs/>
        </w:rPr>
        <w:t>( Graph 20</w:t>
      </w:r>
      <w:r w:rsidR="008E77DD">
        <w:rPr>
          <w:b/>
          <w:bCs/>
        </w:rPr>
        <w:t xml:space="preserve"> </w:t>
      </w:r>
      <w:r>
        <w:rPr>
          <w:b/>
          <w:bCs/>
        </w:rPr>
        <w:t>)</w:t>
      </w:r>
      <w:r w:rsidR="008E77DD">
        <w:rPr>
          <w:b/>
          <w:bCs/>
        </w:rPr>
        <w:t xml:space="preserve"> </w:t>
      </w:r>
      <w:r>
        <w:rPr>
          <w:b/>
          <w:bCs/>
        </w:rPr>
        <w:t xml:space="preserve">: </w:t>
      </w:r>
      <w:r w:rsidR="00AF4614" w:rsidRPr="001F63FC">
        <w:rPr>
          <w:bCs/>
        </w:rPr>
        <w:t>This data is not available for Andhra Pradesh and Telangana in NFHS III</w:t>
      </w:r>
      <w:r w:rsidR="00AF4614">
        <w:rPr>
          <w:bCs/>
        </w:rPr>
        <w:t xml:space="preserve">. In </w:t>
      </w:r>
      <w:r w:rsidR="00AF4614">
        <w:t>Andhra Pradesh</w:t>
      </w:r>
      <w:r w:rsidR="008E77DD">
        <w:t>,</w:t>
      </w:r>
      <w:r w:rsidR="00AF4614">
        <w:t xml:space="preserve"> </w:t>
      </w:r>
      <w:r w:rsidR="00124FBA">
        <w:t>58.6</w:t>
      </w:r>
      <w:r w:rsidR="008E77DD">
        <w:t>% of the c</w:t>
      </w:r>
      <w:r w:rsidR="00AF4614">
        <w:t>hildren</w:t>
      </w:r>
      <w:r w:rsidR="008E77DD">
        <w:t xml:space="preserve"> under 5 years age</w:t>
      </w:r>
      <w:r w:rsidR="00AF4614">
        <w:t xml:space="preserve"> are anaemic as per NFHS IV. In Haryana</w:t>
      </w:r>
      <w:r w:rsidR="008E77DD">
        <w:t>,</w:t>
      </w:r>
      <w:r w:rsidR="00AF4614">
        <w:t xml:space="preserve"> Children who are anaemic has gone down from </w:t>
      </w:r>
      <w:r w:rsidR="00FC13CD">
        <w:t>72.3</w:t>
      </w:r>
      <w:r w:rsidR="00AF4614">
        <w:t>% (NFHS III</w:t>
      </w:r>
      <w:r w:rsidR="008E77DD">
        <w:t xml:space="preserve"> </w:t>
      </w:r>
      <w:r w:rsidR="00AF4614">
        <w:t xml:space="preserve">) to </w:t>
      </w:r>
      <w:r w:rsidR="00FC13CD">
        <w:t>71.7</w:t>
      </w:r>
      <w:r w:rsidR="00AF4614">
        <w:t>% (</w:t>
      </w:r>
      <w:r w:rsidR="008E77DD">
        <w:t xml:space="preserve"> </w:t>
      </w:r>
      <w:r w:rsidR="00AF4614">
        <w:t>NFHS IV</w:t>
      </w:r>
      <w:r w:rsidR="008E77DD">
        <w:t xml:space="preserve"> </w:t>
      </w:r>
      <w:r w:rsidR="00AF4614">
        <w:t xml:space="preserve">). In Karnataka, it has gone down from </w:t>
      </w:r>
      <w:r w:rsidR="00FC13CD">
        <w:t>70.3</w:t>
      </w:r>
      <w:r w:rsidR="00AF4614">
        <w:t>% (</w:t>
      </w:r>
      <w:r w:rsidR="008E77DD">
        <w:t xml:space="preserve"> </w:t>
      </w:r>
      <w:r w:rsidR="00AF4614">
        <w:t>NFHS III</w:t>
      </w:r>
      <w:r w:rsidR="008E77DD">
        <w:t xml:space="preserve"> </w:t>
      </w:r>
      <w:r w:rsidR="00AF4614">
        <w:t xml:space="preserve">) to </w:t>
      </w:r>
      <w:r w:rsidR="00FC13CD">
        <w:t>60.9</w:t>
      </w:r>
      <w:r w:rsidR="00AF4614">
        <w:t>% (NFHS IV</w:t>
      </w:r>
      <w:r w:rsidR="008E77DD">
        <w:t xml:space="preserve"> </w:t>
      </w:r>
      <w:r w:rsidR="00AF4614">
        <w:t>).</w:t>
      </w:r>
      <w:r w:rsidR="00986E26">
        <w:t xml:space="preserve"> </w:t>
      </w:r>
      <w:r w:rsidR="00AF4614">
        <w:t xml:space="preserve">In Maharashtra, it has gone down from </w:t>
      </w:r>
      <w:r w:rsidR="00FC13CD">
        <w:t>63.4</w:t>
      </w:r>
      <w:r w:rsidR="00AF4614">
        <w:t>% (</w:t>
      </w:r>
      <w:r w:rsidR="00077AD5">
        <w:t xml:space="preserve"> </w:t>
      </w:r>
      <w:r w:rsidR="00AF4614">
        <w:t>NFHS III</w:t>
      </w:r>
      <w:r w:rsidR="00077AD5">
        <w:t xml:space="preserve"> </w:t>
      </w:r>
      <w:r w:rsidR="00AF4614">
        <w:t xml:space="preserve">) to </w:t>
      </w:r>
      <w:r w:rsidR="00FC13CD">
        <w:t>53.8</w:t>
      </w:r>
      <w:r w:rsidR="00AF4614">
        <w:t>% (</w:t>
      </w:r>
      <w:r w:rsidR="00077AD5">
        <w:t xml:space="preserve"> </w:t>
      </w:r>
      <w:r w:rsidR="00AF4614">
        <w:t>NFHS IV</w:t>
      </w:r>
      <w:r w:rsidR="00077AD5">
        <w:t xml:space="preserve"> </w:t>
      </w:r>
      <w:r w:rsidR="00AF4614">
        <w:t xml:space="preserve">). In Tamil Nadu, it has gone </w:t>
      </w:r>
      <w:r w:rsidR="00FC13CD">
        <w:t>down</w:t>
      </w:r>
      <w:r w:rsidR="00AF4614">
        <w:t xml:space="preserve"> from </w:t>
      </w:r>
      <w:r w:rsidR="00FC13CD">
        <w:t>64.2</w:t>
      </w:r>
      <w:r w:rsidR="00AF4614">
        <w:t>% (</w:t>
      </w:r>
      <w:r w:rsidR="00077AD5">
        <w:t xml:space="preserve"> </w:t>
      </w:r>
      <w:r w:rsidR="00AF4614">
        <w:t>NFHS III</w:t>
      </w:r>
      <w:r w:rsidR="00077AD5">
        <w:t xml:space="preserve"> </w:t>
      </w:r>
      <w:r w:rsidR="00AF4614">
        <w:t xml:space="preserve">) to </w:t>
      </w:r>
      <w:r w:rsidR="00FC13CD">
        <w:t>50.7</w:t>
      </w:r>
      <w:r w:rsidR="00AF4614">
        <w:t>% (</w:t>
      </w:r>
      <w:r w:rsidR="00077AD5">
        <w:t xml:space="preserve"> </w:t>
      </w:r>
      <w:r w:rsidR="00AF4614">
        <w:t>NFHS IV</w:t>
      </w:r>
      <w:r w:rsidR="00077AD5">
        <w:t xml:space="preserve"> </w:t>
      </w:r>
      <w:r w:rsidR="00AF4614">
        <w:t xml:space="preserve">). Telangana has </w:t>
      </w:r>
      <w:r w:rsidR="00FC13CD">
        <w:t>60.7</w:t>
      </w:r>
      <w:r w:rsidR="00AF4614">
        <w:t xml:space="preserve">% Children who are anaemic as per NFHS IV. In West Bengal it has gone down from </w:t>
      </w:r>
      <w:r w:rsidR="00FC13CD">
        <w:t>61</w:t>
      </w:r>
      <w:r w:rsidR="00AF4614">
        <w:t>% (</w:t>
      </w:r>
      <w:r w:rsidR="00077AD5">
        <w:t xml:space="preserve"> </w:t>
      </w:r>
      <w:r w:rsidR="00AF4614">
        <w:t>NFHS III</w:t>
      </w:r>
      <w:r w:rsidR="00077AD5">
        <w:t xml:space="preserve"> </w:t>
      </w:r>
      <w:r w:rsidR="00AF4614">
        <w:t xml:space="preserve">) to </w:t>
      </w:r>
      <w:r w:rsidR="00FC13CD">
        <w:t>54.2</w:t>
      </w:r>
      <w:r w:rsidR="00AF4614">
        <w:t>% (NFHS IV</w:t>
      </w:r>
      <w:r w:rsidR="00077AD5">
        <w:t xml:space="preserve"> </w:t>
      </w:r>
      <w:r w:rsidR="00AF4614">
        <w:t>)</w:t>
      </w:r>
      <w:r w:rsidR="00077AD5">
        <w:t>.</w:t>
      </w:r>
    </w:p>
    <w:p w:rsidR="003432CB" w:rsidRPr="00A829FD" w:rsidRDefault="008F3751" w:rsidP="003432CB">
      <w:pPr>
        <w:pStyle w:val="ListParagraph"/>
        <w:numPr>
          <w:ilvl w:val="0"/>
          <w:numId w:val="2"/>
        </w:numPr>
        <w:jc w:val="both"/>
        <w:rPr>
          <w:b/>
        </w:rPr>
      </w:pPr>
      <w:r w:rsidRPr="001C4639">
        <w:rPr>
          <w:b/>
        </w:rPr>
        <w:lastRenderedPageBreak/>
        <w:t>All women age 15-49 years who are anaemic (&lt;11.0 g/dl)</w:t>
      </w:r>
      <w:r w:rsidR="00077AD5">
        <w:rPr>
          <w:b/>
        </w:rPr>
        <w:t xml:space="preserve"> </w:t>
      </w:r>
      <w:r w:rsidRPr="001C4639">
        <w:rPr>
          <w:b/>
          <w:bCs/>
        </w:rPr>
        <w:t>( Graph 21</w:t>
      </w:r>
      <w:r w:rsidR="00077AD5">
        <w:rPr>
          <w:b/>
          <w:bCs/>
        </w:rPr>
        <w:t xml:space="preserve"> </w:t>
      </w:r>
      <w:r w:rsidRPr="001C4639">
        <w:rPr>
          <w:b/>
          <w:bCs/>
        </w:rPr>
        <w:t>)</w:t>
      </w:r>
      <w:r w:rsidR="00077AD5">
        <w:rPr>
          <w:b/>
          <w:bCs/>
        </w:rPr>
        <w:t xml:space="preserve"> </w:t>
      </w:r>
      <w:r w:rsidRPr="001C4639">
        <w:rPr>
          <w:b/>
          <w:bCs/>
        </w:rPr>
        <w:t>:</w:t>
      </w:r>
      <w:r w:rsidR="00077AD5">
        <w:rPr>
          <w:b/>
          <w:bCs/>
        </w:rPr>
        <w:t xml:space="preserve"> </w:t>
      </w:r>
      <w:r w:rsidR="003432CB" w:rsidRPr="001F63FC">
        <w:rPr>
          <w:bCs/>
        </w:rPr>
        <w:t>This data is not available for Andhra Pradesh and Telangana in NFHS III</w:t>
      </w:r>
      <w:r w:rsidR="003432CB">
        <w:rPr>
          <w:bCs/>
        </w:rPr>
        <w:t xml:space="preserve">. In </w:t>
      </w:r>
      <w:r w:rsidR="003432CB">
        <w:t>Andhra Pradesh</w:t>
      </w:r>
      <w:r w:rsidR="00077AD5">
        <w:t>,</w:t>
      </w:r>
      <w:r w:rsidR="003432CB">
        <w:t xml:space="preserve"> 60% </w:t>
      </w:r>
      <w:r w:rsidR="00077AD5">
        <w:t>of the w</w:t>
      </w:r>
      <w:r w:rsidR="003432CB">
        <w:t>omen are anaemic as per NFHS IV. In Haryana</w:t>
      </w:r>
      <w:r w:rsidR="00077AD5">
        <w:t>,</w:t>
      </w:r>
      <w:r w:rsidR="003432CB">
        <w:t xml:space="preserve"> Women who are anaemic has gone </w:t>
      </w:r>
      <w:r w:rsidR="006D2226">
        <w:t xml:space="preserve">up </w:t>
      </w:r>
      <w:r w:rsidR="003432CB">
        <w:t xml:space="preserve">from </w:t>
      </w:r>
      <w:r w:rsidR="006D2226">
        <w:t>56.1</w:t>
      </w:r>
      <w:r w:rsidR="003432CB">
        <w:t>% (</w:t>
      </w:r>
      <w:r w:rsidR="00077AD5">
        <w:t xml:space="preserve"> </w:t>
      </w:r>
      <w:r w:rsidR="003432CB">
        <w:t>NFHS III</w:t>
      </w:r>
      <w:r w:rsidR="00077AD5">
        <w:t xml:space="preserve"> </w:t>
      </w:r>
      <w:r w:rsidR="003432CB">
        <w:t xml:space="preserve">) to </w:t>
      </w:r>
      <w:r w:rsidR="006D2226">
        <w:t>62</w:t>
      </w:r>
      <w:r w:rsidR="003432CB">
        <w:t>.7% (NFHS IV</w:t>
      </w:r>
      <w:r w:rsidR="00077AD5">
        <w:t xml:space="preserve"> </w:t>
      </w:r>
      <w:r w:rsidR="003432CB">
        <w:t xml:space="preserve">). In Karnataka, it has gone down from </w:t>
      </w:r>
      <w:r w:rsidR="006D2226">
        <w:t>51.2</w:t>
      </w:r>
      <w:r w:rsidR="003432CB">
        <w:t>% (</w:t>
      </w:r>
      <w:r w:rsidR="00077AD5">
        <w:t xml:space="preserve"> </w:t>
      </w:r>
      <w:r w:rsidR="003432CB">
        <w:t>NFHS III</w:t>
      </w:r>
      <w:r w:rsidR="00077AD5">
        <w:t xml:space="preserve"> </w:t>
      </w:r>
      <w:r w:rsidR="003432CB">
        <w:t xml:space="preserve">) to </w:t>
      </w:r>
      <w:r w:rsidR="006D2226">
        <w:t>44.8</w:t>
      </w:r>
      <w:r w:rsidR="003432CB">
        <w:t>% (</w:t>
      </w:r>
      <w:r w:rsidR="00077AD5">
        <w:t xml:space="preserve"> </w:t>
      </w:r>
      <w:r w:rsidR="003432CB">
        <w:t>NFHS IV</w:t>
      </w:r>
      <w:r w:rsidR="00077AD5">
        <w:t xml:space="preserve"> </w:t>
      </w:r>
      <w:r w:rsidR="003432CB">
        <w:t>).</w:t>
      </w:r>
      <w:r w:rsidR="00077AD5">
        <w:t xml:space="preserve"> </w:t>
      </w:r>
      <w:r w:rsidR="003432CB">
        <w:t xml:space="preserve">In Maharashtra, it has gone down from </w:t>
      </w:r>
      <w:r w:rsidR="006D2226">
        <w:t>48.4</w:t>
      </w:r>
      <w:r w:rsidR="003432CB">
        <w:t>% (</w:t>
      </w:r>
      <w:r w:rsidR="00077AD5">
        <w:t xml:space="preserve"> </w:t>
      </w:r>
      <w:r w:rsidR="003432CB">
        <w:t>NFHS III</w:t>
      </w:r>
      <w:r w:rsidR="00077AD5">
        <w:t xml:space="preserve"> </w:t>
      </w:r>
      <w:r w:rsidR="003432CB">
        <w:t xml:space="preserve">) to </w:t>
      </w:r>
      <w:r w:rsidR="006D2226">
        <w:t>44</w:t>
      </w:r>
      <w:r w:rsidR="003432CB">
        <w:t>% (</w:t>
      </w:r>
      <w:r w:rsidR="00077AD5">
        <w:t xml:space="preserve"> </w:t>
      </w:r>
      <w:r w:rsidR="003432CB">
        <w:t>NFHS IV</w:t>
      </w:r>
      <w:r w:rsidR="00077AD5">
        <w:t xml:space="preserve"> </w:t>
      </w:r>
      <w:r w:rsidR="003432CB">
        <w:t xml:space="preserve">). In Tamil Nadu, it has gone </w:t>
      </w:r>
      <w:r w:rsidR="006D2226">
        <w:t>up</w:t>
      </w:r>
      <w:r w:rsidR="003432CB">
        <w:t xml:space="preserve"> from </w:t>
      </w:r>
      <w:r w:rsidR="006D2226">
        <w:t>53.2</w:t>
      </w:r>
      <w:r w:rsidR="003432CB">
        <w:t>% (</w:t>
      </w:r>
      <w:r w:rsidR="00077AD5">
        <w:t xml:space="preserve"> </w:t>
      </w:r>
      <w:r w:rsidR="003432CB">
        <w:t>NFHS III</w:t>
      </w:r>
      <w:r w:rsidR="00077AD5">
        <w:t xml:space="preserve"> </w:t>
      </w:r>
      <w:r w:rsidR="003432CB">
        <w:t xml:space="preserve">) to </w:t>
      </w:r>
      <w:r w:rsidR="006D2226">
        <w:t>55.1</w:t>
      </w:r>
      <w:r w:rsidR="003432CB">
        <w:t>% (</w:t>
      </w:r>
      <w:r w:rsidR="00077AD5">
        <w:t xml:space="preserve"> </w:t>
      </w:r>
      <w:r w:rsidR="003432CB">
        <w:t>NFHS IV</w:t>
      </w:r>
      <w:r w:rsidR="00077AD5">
        <w:t xml:space="preserve"> </w:t>
      </w:r>
      <w:r w:rsidR="003432CB">
        <w:t xml:space="preserve">). </w:t>
      </w:r>
      <w:r w:rsidR="00077AD5">
        <w:t xml:space="preserve">In </w:t>
      </w:r>
      <w:r w:rsidR="003432CB">
        <w:t>Telangana</w:t>
      </w:r>
      <w:r w:rsidR="00077AD5">
        <w:t>,</w:t>
      </w:r>
      <w:r w:rsidR="003432CB">
        <w:t xml:space="preserve"> </w:t>
      </w:r>
      <w:r w:rsidR="006D2226">
        <w:t>56</w:t>
      </w:r>
      <w:r w:rsidR="003432CB">
        <w:t xml:space="preserve">.7% </w:t>
      </w:r>
      <w:r w:rsidR="00077AD5">
        <w:t>women</w:t>
      </w:r>
      <w:r w:rsidR="003432CB">
        <w:t xml:space="preserve"> are anaemic </w:t>
      </w:r>
      <w:r w:rsidR="00077AD5">
        <w:t>as per NFHS IV. In West Bengal, anaemia in women</w:t>
      </w:r>
      <w:r w:rsidR="003432CB">
        <w:t xml:space="preserve"> has gone down from 6</w:t>
      </w:r>
      <w:r w:rsidR="006D2226">
        <w:t>3.2</w:t>
      </w:r>
      <w:r w:rsidR="003432CB">
        <w:t>% (</w:t>
      </w:r>
      <w:r w:rsidR="00077AD5">
        <w:t xml:space="preserve"> </w:t>
      </w:r>
      <w:r w:rsidR="003432CB">
        <w:t>NFHS III</w:t>
      </w:r>
      <w:r w:rsidR="00077AD5">
        <w:t xml:space="preserve"> </w:t>
      </w:r>
      <w:r w:rsidR="003432CB">
        <w:t xml:space="preserve">) to </w:t>
      </w:r>
      <w:r w:rsidR="006D2226">
        <w:t>62.5</w:t>
      </w:r>
      <w:r w:rsidR="003432CB">
        <w:t>% (</w:t>
      </w:r>
      <w:r w:rsidR="00077AD5">
        <w:t xml:space="preserve"> </w:t>
      </w:r>
      <w:r w:rsidR="003432CB">
        <w:t>NFHS IV</w:t>
      </w:r>
      <w:r w:rsidR="00077AD5">
        <w:t xml:space="preserve"> </w:t>
      </w:r>
      <w:r w:rsidR="003432CB">
        <w:t>)</w:t>
      </w:r>
      <w:r w:rsidR="00077AD5">
        <w:t>.</w:t>
      </w:r>
    </w:p>
    <w:p w:rsidR="008F3751" w:rsidRDefault="008F3751" w:rsidP="003432CB">
      <w:pPr>
        <w:pStyle w:val="ListParagraph"/>
        <w:jc w:val="both"/>
        <w:rPr>
          <w:b/>
        </w:rPr>
      </w:pPr>
    </w:p>
    <w:p w:rsidR="002D1C8B" w:rsidRPr="001C4639" w:rsidRDefault="002D1C8B" w:rsidP="003432CB">
      <w:pPr>
        <w:pStyle w:val="ListParagraph"/>
        <w:jc w:val="both"/>
        <w:rPr>
          <w:b/>
        </w:rPr>
      </w:pPr>
    </w:p>
    <w:p w:rsidR="00F46977" w:rsidRPr="00A829FD" w:rsidRDefault="008F3751" w:rsidP="00F46977">
      <w:pPr>
        <w:pStyle w:val="ListParagraph"/>
        <w:numPr>
          <w:ilvl w:val="0"/>
          <w:numId w:val="2"/>
        </w:numPr>
        <w:jc w:val="both"/>
        <w:rPr>
          <w:b/>
        </w:rPr>
      </w:pPr>
      <w:r w:rsidRPr="002A5C62">
        <w:rPr>
          <w:b/>
        </w:rPr>
        <w:t>Men age 15-49 years who are anaemic (&lt;13.0 g/dl)</w:t>
      </w:r>
      <w:r w:rsidR="002D1C8B">
        <w:rPr>
          <w:b/>
        </w:rPr>
        <w:t xml:space="preserve"> </w:t>
      </w:r>
      <w:r>
        <w:rPr>
          <w:b/>
          <w:bCs/>
        </w:rPr>
        <w:t>( Graph 22</w:t>
      </w:r>
      <w:r w:rsidR="002D1C8B">
        <w:rPr>
          <w:b/>
          <w:bCs/>
        </w:rPr>
        <w:t xml:space="preserve"> </w:t>
      </w:r>
      <w:r>
        <w:rPr>
          <w:b/>
          <w:bCs/>
        </w:rPr>
        <w:t>)</w:t>
      </w:r>
      <w:r w:rsidR="002D1C8B">
        <w:rPr>
          <w:b/>
          <w:bCs/>
        </w:rPr>
        <w:t xml:space="preserve"> </w:t>
      </w:r>
      <w:r>
        <w:rPr>
          <w:b/>
          <w:bCs/>
        </w:rPr>
        <w:t>:</w:t>
      </w:r>
      <w:r w:rsidR="002D1C8B">
        <w:rPr>
          <w:b/>
          <w:bCs/>
        </w:rPr>
        <w:t xml:space="preserve"> </w:t>
      </w:r>
      <w:r w:rsidR="00F46977" w:rsidRPr="001F63FC">
        <w:rPr>
          <w:bCs/>
        </w:rPr>
        <w:t>This data is not available for Andhra Pradesh and Telangana in NFHS III</w:t>
      </w:r>
      <w:r w:rsidR="00F46977">
        <w:rPr>
          <w:bCs/>
        </w:rPr>
        <w:t xml:space="preserve">. In </w:t>
      </w:r>
      <w:r w:rsidR="00F46977">
        <w:t>Andhra Pradesh</w:t>
      </w:r>
      <w:r w:rsidR="002D1C8B">
        <w:t>,</w:t>
      </w:r>
      <w:r w:rsidR="00F46977">
        <w:t xml:space="preserve"> 26.9% </w:t>
      </w:r>
      <w:r w:rsidR="002D1C8B">
        <w:t>of the m</w:t>
      </w:r>
      <w:r w:rsidR="00F46977">
        <w:t>en are anaemic as per NFHS IV. In Haryana</w:t>
      </w:r>
      <w:r w:rsidR="002D1C8B">
        <w:t>,</w:t>
      </w:r>
      <w:r w:rsidR="00F46977">
        <w:t xml:space="preserve"> Men who are anaemic has gone up from 19.2% (</w:t>
      </w:r>
      <w:r w:rsidR="002D1C8B">
        <w:t xml:space="preserve"> </w:t>
      </w:r>
      <w:r w:rsidR="00F46977">
        <w:t>NFHS III</w:t>
      </w:r>
      <w:r w:rsidR="002D1C8B">
        <w:t xml:space="preserve"> </w:t>
      </w:r>
      <w:r w:rsidR="00F46977">
        <w:t>) to 20.9% (</w:t>
      </w:r>
      <w:r w:rsidR="002D1C8B">
        <w:t xml:space="preserve"> </w:t>
      </w:r>
      <w:r w:rsidR="00F46977">
        <w:t>NFHS IV</w:t>
      </w:r>
      <w:r w:rsidR="002D1C8B">
        <w:t xml:space="preserve"> </w:t>
      </w:r>
      <w:r w:rsidR="00F46977">
        <w:t>). In Karnataka, it has gone down from 19% (</w:t>
      </w:r>
      <w:r w:rsidR="002D1C8B">
        <w:t xml:space="preserve"> </w:t>
      </w:r>
      <w:r w:rsidR="00F46977">
        <w:t>NFHS III</w:t>
      </w:r>
      <w:r w:rsidR="002D1C8B">
        <w:t xml:space="preserve"> </w:t>
      </w:r>
      <w:r w:rsidR="00F46977">
        <w:t>) to 18.2% (</w:t>
      </w:r>
      <w:r w:rsidR="002D1C8B">
        <w:t xml:space="preserve"> </w:t>
      </w:r>
      <w:r w:rsidR="00F46977">
        <w:t>NFHS IV</w:t>
      </w:r>
      <w:r w:rsidR="002D1C8B">
        <w:t xml:space="preserve"> </w:t>
      </w:r>
      <w:r w:rsidR="00F46977">
        <w:t>).</w:t>
      </w:r>
      <w:r w:rsidR="002D1C8B">
        <w:t xml:space="preserve"> </w:t>
      </w:r>
      <w:r w:rsidR="00F46977">
        <w:t>In Maharashtra, it has gone up from 16.8% (</w:t>
      </w:r>
      <w:r w:rsidR="002D1C8B">
        <w:t xml:space="preserve"> </w:t>
      </w:r>
      <w:r w:rsidR="00F46977">
        <w:t>NFHS III</w:t>
      </w:r>
      <w:r w:rsidR="002D1C8B">
        <w:t xml:space="preserve"> </w:t>
      </w:r>
      <w:r w:rsidR="00F46977">
        <w:t>) to 17.6% (</w:t>
      </w:r>
      <w:r w:rsidR="002D1C8B">
        <w:t xml:space="preserve"> </w:t>
      </w:r>
      <w:r w:rsidR="00F46977">
        <w:t>NFHS IV</w:t>
      </w:r>
      <w:r w:rsidR="002D1C8B">
        <w:t xml:space="preserve"> </w:t>
      </w:r>
      <w:r w:rsidR="00F46977">
        <w:t>). In Tamil Nadu, it has gone up from 16.6% (NFHS III</w:t>
      </w:r>
      <w:r w:rsidR="002D1C8B">
        <w:t xml:space="preserve"> </w:t>
      </w:r>
      <w:r w:rsidR="00F46977">
        <w:t>) to 20.4% (</w:t>
      </w:r>
      <w:r w:rsidR="002D1C8B">
        <w:t xml:space="preserve"> </w:t>
      </w:r>
      <w:r w:rsidR="00F46977">
        <w:t>NFHS IV</w:t>
      </w:r>
      <w:r w:rsidR="002D1C8B">
        <w:t xml:space="preserve"> </w:t>
      </w:r>
      <w:r w:rsidR="00F46977">
        <w:t>). Telangana has 15.4% Men who are anaemic as per NFHS IV. In West Bengal</w:t>
      </w:r>
      <w:r w:rsidR="002D1C8B">
        <w:t>,</w:t>
      </w:r>
      <w:r w:rsidR="00F46977">
        <w:t xml:space="preserve"> it has gone down from 32.3% (</w:t>
      </w:r>
      <w:r w:rsidR="002D1C8B">
        <w:t xml:space="preserve"> </w:t>
      </w:r>
      <w:r w:rsidR="00F46977">
        <w:t>NFHS III</w:t>
      </w:r>
      <w:r w:rsidR="002D1C8B">
        <w:t xml:space="preserve"> </w:t>
      </w:r>
      <w:r w:rsidR="00F46977">
        <w:t>) to 30.3% (</w:t>
      </w:r>
      <w:r w:rsidR="002D1C8B">
        <w:t xml:space="preserve"> </w:t>
      </w:r>
      <w:r w:rsidR="00F46977">
        <w:t>NFHS IV</w:t>
      </w:r>
      <w:r w:rsidR="002D1C8B">
        <w:t xml:space="preserve"> </w:t>
      </w:r>
      <w:r w:rsidR="00F46977">
        <w:t>)</w:t>
      </w:r>
      <w:r w:rsidR="002D1C8B">
        <w:t>.</w:t>
      </w:r>
    </w:p>
    <w:p w:rsidR="008F3751" w:rsidRDefault="008F3751" w:rsidP="006A2CD2">
      <w:pPr>
        <w:pStyle w:val="ListParagraph"/>
        <w:jc w:val="both"/>
        <w:rPr>
          <w:b/>
        </w:rPr>
      </w:pPr>
    </w:p>
    <w:p w:rsidR="002D1C8B" w:rsidRPr="00E21809" w:rsidRDefault="002D1C8B" w:rsidP="006A2CD2">
      <w:pPr>
        <w:pStyle w:val="ListParagraph"/>
        <w:jc w:val="both"/>
        <w:rPr>
          <w:b/>
        </w:rPr>
      </w:pPr>
    </w:p>
    <w:p w:rsidR="006A2CD2" w:rsidRDefault="008F3751" w:rsidP="005F2ABC">
      <w:pPr>
        <w:pStyle w:val="ListParagraph"/>
        <w:numPr>
          <w:ilvl w:val="0"/>
          <w:numId w:val="2"/>
        </w:numPr>
        <w:jc w:val="both"/>
      </w:pPr>
      <w:r w:rsidRPr="001C4639">
        <w:rPr>
          <w:b/>
        </w:rPr>
        <w:t>Blood Sugar Level among Adults (age 15-49 years) -</w:t>
      </w:r>
      <w:r w:rsidR="005F2ABC">
        <w:rPr>
          <w:b/>
        </w:rPr>
        <w:t xml:space="preserve"> </w:t>
      </w:r>
      <w:r w:rsidRPr="001C4639">
        <w:rPr>
          <w:b/>
        </w:rPr>
        <w:t>Blood sugar level - high (&gt;140 mg/dl)</w:t>
      </w:r>
      <w:r w:rsidRPr="001C4639">
        <w:rPr>
          <w:b/>
          <w:bCs/>
        </w:rPr>
        <w:t xml:space="preserve"> ( Graph 23</w:t>
      </w:r>
      <w:r w:rsidR="005F2ABC">
        <w:rPr>
          <w:b/>
          <w:bCs/>
        </w:rPr>
        <w:t xml:space="preserve"> </w:t>
      </w:r>
      <w:r w:rsidRPr="001C4639">
        <w:rPr>
          <w:b/>
          <w:bCs/>
        </w:rPr>
        <w:t>)</w:t>
      </w:r>
      <w:r w:rsidR="005F2ABC">
        <w:rPr>
          <w:b/>
          <w:bCs/>
        </w:rPr>
        <w:t xml:space="preserve"> </w:t>
      </w:r>
      <w:r w:rsidRPr="001C4639">
        <w:rPr>
          <w:b/>
          <w:bCs/>
        </w:rPr>
        <w:t>:</w:t>
      </w:r>
      <w:r w:rsidRPr="005F2ABC">
        <w:rPr>
          <w:bCs/>
        </w:rPr>
        <w:t xml:space="preserve"> </w:t>
      </w:r>
      <w:r w:rsidR="005F2ABC">
        <w:rPr>
          <w:bCs/>
        </w:rPr>
        <w:t>T</w:t>
      </w:r>
      <w:r w:rsidR="005F2ABC" w:rsidRPr="005F2ABC">
        <w:rPr>
          <w:bCs/>
        </w:rPr>
        <w:t>his indicator</w:t>
      </w:r>
      <w:r w:rsidR="005F2ABC">
        <w:rPr>
          <w:bCs/>
        </w:rPr>
        <w:t xml:space="preserve"> has been measured for the first time in NFHS IV. </w:t>
      </w:r>
      <w:r w:rsidR="006A2CD2">
        <w:t>In Andhra Pradesh</w:t>
      </w:r>
      <w:r w:rsidR="005F2ABC">
        <w:t>,</w:t>
      </w:r>
      <w:r w:rsidR="006A2CD2">
        <w:t xml:space="preserve"> 9.8% men and 8.2% women have high blood sugar level.  In Haryana, 6.1% men and 4.8% women have high blood sugar level. I</w:t>
      </w:r>
      <w:r w:rsidR="005F2ABC">
        <w:t>n</w:t>
      </w:r>
      <w:r w:rsidR="006A2CD2">
        <w:t xml:space="preserve"> Karnataka</w:t>
      </w:r>
      <w:r w:rsidR="005F2ABC">
        <w:t>, 8.4% men and 6.3% women;</w:t>
      </w:r>
      <w:r w:rsidR="006A2CD2">
        <w:t xml:space="preserve"> in Ma</w:t>
      </w:r>
      <w:r w:rsidR="005F2ABC">
        <w:t>harashtra 5.9% men and 5% women;</w:t>
      </w:r>
      <w:r w:rsidR="006A2CD2">
        <w:t xml:space="preserve"> in Tamil Nadu 9.7% men and </w:t>
      </w:r>
      <w:r w:rsidR="0051408D">
        <w:t>7.1% women</w:t>
      </w:r>
      <w:r w:rsidR="005F2ABC">
        <w:t>;</w:t>
      </w:r>
      <w:r w:rsidR="0051408D">
        <w:t xml:space="preserve"> in Telangana 6% men and 6.8% women and in West Bengal</w:t>
      </w:r>
      <w:r w:rsidR="005F2ABC">
        <w:t>,</w:t>
      </w:r>
      <w:r w:rsidR="0051408D">
        <w:t xml:space="preserve"> 11.4% men and 7.4% women have high blood sugar level</w:t>
      </w:r>
      <w:r w:rsidR="005F2ABC" w:rsidRPr="005F2ABC">
        <w:t xml:space="preserve"> (&gt;140 mg/dl).</w:t>
      </w:r>
    </w:p>
    <w:p w:rsidR="006A2CD2" w:rsidRDefault="006A2CD2" w:rsidP="006A2CD2">
      <w:pPr>
        <w:pStyle w:val="ListParagraph"/>
        <w:jc w:val="both"/>
      </w:pPr>
    </w:p>
    <w:p w:rsidR="005F2ABC" w:rsidRDefault="005F2ABC" w:rsidP="00833D12">
      <w:pPr>
        <w:pStyle w:val="ListParagraph"/>
        <w:jc w:val="both"/>
      </w:pPr>
    </w:p>
    <w:p w:rsidR="00293321" w:rsidRDefault="008F3751" w:rsidP="00833D12">
      <w:pPr>
        <w:pStyle w:val="ListParagraph"/>
        <w:numPr>
          <w:ilvl w:val="0"/>
          <w:numId w:val="2"/>
        </w:numPr>
        <w:jc w:val="both"/>
      </w:pPr>
      <w:r w:rsidRPr="00D83034">
        <w:rPr>
          <w:b/>
        </w:rPr>
        <w:t xml:space="preserve">Blood Sugar Level among Adults (age 15-49 years) - Blood sugar level - very high (&gt;160 mg/dl) </w:t>
      </w:r>
      <w:r>
        <w:rPr>
          <w:b/>
          <w:bCs/>
        </w:rPr>
        <w:t>( Graph 24)</w:t>
      </w:r>
      <w:r w:rsidR="00833D12">
        <w:rPr>
          <w:b/>
          <w:bCs/>
        </w:rPr>
        <w:t xml:space="preserve"> </w:t>
      </w:r>
      <w:r>
        <w:rPr>
          <w:b/>
          <w:bCs/>
        </w:rPr>
        <w:t xml:space="preserve">: </w:t>
      </w:r>
      <w:r w:rsidR="00833D12">
        <w:rPr>
          <w:bCs/>
        </w:rPr>
        <w:t>T</w:t>
      </w:r>
      <w:r w:rsidR="00833D12" w:rsidRPr="005F2ABC">
        <w:rPr>
          <w:bCs/>
        </w:rPr>
        <w:t>his indicator</w:t>
      </w:r>
      <w:r w:rsidR="00833D12">
        <w:rPr>
          <w:bCs/>
        </w:rPr>
        <w:t xml:space="preserve"> has been measured for the first time in NFHS IV.</w:t>
      </w:r>
      <w:r w:rsidRPr="00D83034">
        <w:rPr>
          <w:b/>
        </w:rPr>
        <w:t xml:space="preserve"> </w:t>
      </w:r>
      <w:r w:rsidR="00293321">
        <w:t>In Andhra Pradesh</w:t>
      </w:r>
      <w:r w:rsidR="00833D12">
        <w:t>,</w:t>
      </w:r>
      <w:r w:rsidR="00293321">
        <w:t xml:space="preserve"> 5.9% men and 4.9% women have very high blood sugar level.  In Haryana, 2.1% men and 1.8% women have very high blood sugar level. I</w:t>
      </w:r>
      <w:r w:rsidR="00833D12">
        <w:t>n</w:t>
      </w:r>
      <w:r w:rsidR="00293321">
        <w:t xml:space="preserve"> Karnataka</w:t>
      </w:r>
      <w:r w:rsidR="00833D12">
        <w:t>,</w:t>
      </w:r>
      <w:r w:rsidR="00293321">
        <w:t xml:space="preserve"> 3.7% men and 3.2% women</w:t>
      </w:r>
      <w:r w:rsidR="00833D12">
        <w:t>;</w:t>
      </w:r>
      <w:r w:rsidR="00293321">
        <w:t xml:space="preserve"> in Maharashtra 2.5% men and 2.7% women</w:t>
      </w:r>
      <w:r w:rsidR="00833D12">
        <w:t>;</w:t>
      </w:r>
      <w:r w:rsidR="00293321">
        <w:t xml:space="preserve"> in Tamil Nadu 5.6% men and 3.4% women</w:t>
      </w:r>
      <w:r w:rsidR="00833D12">
        <w:t>;</w:t>
      </w:r>
      <w:r w:rsidR="00293321">
        <w:t xml:space="preserve"> in Telangana 4.1% men and 3.9% women and in West Bengal</w:t>
      </w:r>
      <w:r w:rsidR="00833D12">
        <w:t>,</w:t>
      </w:r>
      <w:r w:rsidR="00293321">
        <w:t xml:space="preserve"> 5.9% men and 3.5% women have very high blood sugar lev</w:t>
      </w:r>
      <w:r w:rsidR="00293321" w:rsidRPr="00833D12">
        <w:t>el</w:t>
      </w:r>
      <w:r w:rsidR="00833D12" w:rsidRPr="00833D12">
        <w:t xml:space="preserve"> (160 mg/dl).</w:t>
      </w:r>
    </w:p>
    <w:p w:rsidR="008F3751" w:rsidRDefault="008F3751" w:rsidP="00833D12">
      <w:pPr>
        <w:pStyle w:val="ListParagraph"/>
        <w:jc w:val="both"/>
      </w:pPr>
    </w:p>
    <w:p w:rsidR="008F3751" w:rsidRDefault="008F3751" w:rsidP="00833D12">
      <w:pPr>
        <w:pStyle w:val="ListParagraph"/>
        <w:jc w:val="both"/>
      </w:pPr>
    </w:p>
    <w:p w:rsidR="00D64458" w:rsidRDefault="008F3751" w:rsidP="00833D12">
      <w:pPr>
        <w:pStyle w:val="ListParagraph"/>
        <w:numPr>
          <w:ilvl w:val="0"/>
          <w:numId w:val="2"/>
        </w:numPr>
        <w:jc w:val="both"/>
      </w:pPr>
      <w:r w:rsidRPr="00D83034">
        <w:rPr>
          <w:b/>
        </w:rPr>
        <w:t>Hypertension among Adults (age 15-49 years) - Slightly above normal (Systolic 140-159 mm of Hg and/or Diastolic 90-99 mm of Hg)</w:t>
      </w:r>
      <w:r w:rsidR="00833D12">
        <w:rPr>
          <w:b/>
        </w:rPr>
        <w:t xml:space="preserve"> </w:t>
      </w:r>
      <w:r>
        <w:rPr>
          <w:b/>
          <w:bCs/>
        </w:rPr>
        <w:t>( Graph 25)</w:t>
      </w:r>
      <w:r w:rsidR="00DE18CD">
        <w:rPr>
          <w:b/>
          <w:bCs/>
        </w:rPr>
        <w:t xml:space="preserve">  </w:t>
      </w:r>
      <w:r>
        <w:rPr>
          <w:b/>
          <w:bCs/>
        </w:rPr>
        <w:t xml:space="preserve">: </w:t>
      </w:r>
      <w:r>
        <w:rPr>
          <w:b/>
        </w:rPr>
        <w:t xml:space="preserve"> </w:t>
      </w:r>
      <w:r w:rsidR="00833D12">
        <w:rPr>
          <w:bCs/>
        </w:rPr>
        <w:t>T</w:t>
      </w:r>
      <w:r w:rsidR="00833D12" w:rsidRPr="005F2ABC">
        <w:rPr>
          <w:bCs/>
        </w:rPr>
        <w:t>his indicator</w:t>
      </w:r>
      <w:r w:rsidR="00833D12">
        <w:rPr>
          <w:bCs/>
        </w:rPr>
        <w:t xml:space="preserve"> has been measured for the first time in NFHS IV. </w:t>
      </w:r>
      <w:r w:rsidR="00D64458">
        <w:t>In Andhra Pradesh</w:t>
      </w:r>
      <w:r w:rsidR="00DE18CD">
        <w:t>,</w:t>
      </w:r>
      <w:r w:rsidR="00D64458">
        <w:t xml:space="preserve"> 11% men and 7.6% women have Hypertension slightly above normal.  In Haryana, 14.4% men and 7.6% women have Hypertension slightly above normal. I</w:t>
      </w:r>
      <w:r w:rsidR="00DE18CD">
        <w:t>n</w:t>
      </w:r>
      <w:r w:rsidR="00D64458">
        <w:t xml:space="preserve"> Karnataka</w:t>
      </w:r>
      <w:r w:rsidR="00DE18CD">
        <w:t>,</w:t>
      </w:r>
      <w:r w:rsidR="00D64458">
        <w:t xml:space="preserve"> 12% men and 7.1% women</w:t>
      </w:r>
      <w:r w:rsidR="00DE18CD">
        <w:t>;</w:t>
      </w:r>
      <w:r w:rsidR="00D64458">
        <w:t xml:space="preserve"> in Maharashtra</w:t>
      </w:r>
      <w:r w:rsidR="00DE18CD">
        <w:t>,</w:t>
      </w:r>
      <w:r w:rsidR="00D64458">
        <w:t xml:space="preserve"> 11.5% men and 7.1% women</w:t>
      </w:r>
      <w:r w:rsidR="00DE18CD">
        <w:t>;</w:t>
      </w:r>
      <w:r w:rsidR="00D64458">
        <w:t xml:space="preserve"> in Tamil Nadu</w:t>
      </w:r>
      <w:r w:rsidR="00DE18CD">
        <w:t>,</w:t>
      </w:r>
      <w:r w:rsidR="00D64458">
        <w:t xml:space="preserve"> 11.5% men and 6.2% women</w:t>
      </w:r>
      <w:r w:rsidR="00DE18CD">
        <w:t>;</w:t>
      </w:r>
      <w:r w:rsidR="00D64458">
        <w:t xml:space="preserve"> in Telangana</w:t>
      </w:r>
      <w:r w:rsidR="00DE18CD">
        <w:t>,</w:t>
      </w:r>
      <w:r w:rsidR="00D64458">
        <w:t xml:space="preserve"> 12.2% men and 7.4% women and in West Bengal </w:t>
      </w:r>
      <w:r w:rsidR="0012543E">
        <w:t>9</w:t>
      </w:r>
      <w:r w:rsidR="00D64458">
        <w:t xml:space="preserve">.9% men and </w:t>
      </w:r>
      <w:r w:rsidR="0012543E">
        <w:t>7.8</w:t>
      </w:r>
      <w:r w:rsidR="00D64458">
        <w:t>% women have Hypertension slightly above normal</w:t>
      </w:r>
      <w:r w:rsidR="00833D12">
        <w:t>.</w:t>
      </w:r>
    </w:p>
    <w:p w:rsidR="00D64458" w:rsidRDefault="00D64458" w:rsidP="00833D12">
      <w:pPr>
        <w:pStyle w:val="ListParagraph"/>
        <w:jc w:val="both"/>
      </w:pPr>
    </w:p>
    <w:p w:rsidR="008F3751" w:rsidRPr="00D83034" w:rsidRDefault="008F3751" w:rsidP="00833D12">
      <w:pPr>
        <w:pStyle w:val="ListParagraph"/>
        <w:jc w:val="both"/>
        <w:rPr>
          <w:b/>
        </w:rPr>
      </w:pPr>
    </w:p>
    <w:p w:rsidR="00203A4D" w:rsidRDefault="008F3751" w:rsidP="00833D12">
      <w:pPr>
        <w:pStyle w:val="ListParagraph"/>
        <w:numPr>
          <w:ilvl w:val="0"/>
          <w:numId w:val="2"/>
        </w:numPr>
        <w:jc w:val="both"/>
      </w:pPr>
      <w:r w:rsidRPr="00D41743">
        <w:rPr>
          <w:b/>
        </w:rPr>
        <w:lastRenderedPageBreak/>
        <w:t>Hypertension a</w:t>
      </w:r>
      <w:r w:rsidR="004820A3">
        <w:rPr>
          <w:b/>
        </w:rPr>
        <w:t>mong Adults (age 15-49 years)</w:t>
      </w:r>
      <w:r w:rsidRPr="00D41743">
        <w:rPr>
          <w:b/>
        </w:rPr>
        <w:t xml:space="preserve"> Moderately high (Systolic 160-179 mm of Hg and/or Diastolic 100-109 mm of Hg)</w:t>
      </w:r>
      <w:r w:rsidR="004820A3">
        <w:rPr>
          <w:b/>
        </w:rPr>
        <w:t xml:space="preserve"> </w:t>
      </w:r>
      <w:r w:rsidR="004820A3">
        <w:rPr>
          <w:b/>
          <w:bCs/>
        </w:rPr>
        <w:t xml:space="preserve">( </w:t>
      </w:r>
      <w:r>
        <w:rPr>
          <w:b/>
          <w:bCs/>
        </w:rPr>
        <w:t>Graph 26</w:t>
      </w:r>
      <w:r w:rsidR="004820A3">
        <w:rPr>
          <w:b/>
          <w:bCs/>
        </w:rPr>
        <w:t xml:space="preserve"> </w:t>
      </w:r>
      <w:r>
        <w:rPr>
          <w:b/>
          <w:bCs/>
        </w:rPr>
        <w:t>)</w:t>
      </w:r>
      <w:r w:rsidR="004820A3">
        <w:rPr>
          <w:b/>
          <w:bCs/>
        </w:rPr>
        <w:t xml:space="preserve"> </w:t>
      </w:r>
      <w:r>
        <w:rPr>
          <w:b/>
          <w:bCs/>
        </w:rPr>
        <w:t xml:space="preserve">: </w:t>
      </w:r>
      <w:r w:rsidR="004820A3">
        <w:rPr>
          <w:bCs/>
        </w:rPr>
        <w:t>T</w:t>
      </w:r>
      <w:r w:rsidR="004820A3" w:rsidRPr="005F2ABC">
        <w:rPr>
          <w:bCs/>
        </w:rPr>
        <w:t>his indicator</w:t>
      </w:r>
      <w:r w:rsidR="004820A3">
        <w:rPr>
          <w:bCs/>
        </w:rPr>
        <w:t xml:space="preserve"> has been measured for the first time in NFHS IV.</w:t>
      </w:r>
      <w:r>
        <w:rPr>
          <w:b/>
        </w:rPr>
        <w:t xml:space="preserve"> </w:t>
      </w:r>
      <w:r w:rsidR="00203A4D">
        <w:t>In Andhra Pradesh 3.6% men and 1.7% women have Hypertension moderately high.  In Haryana, 1.8% men and 1.1% women have Hypertension moderately high. In Karnataka 2.2% men and 1.9% women, in Maharashtra 3.6% men and 1.4% women, in Tamil Nadu 2.8% men and 1.6% women, in Telangana 3.3% men and 1.7% women and in West Bengal 1.7% men and 1.8% women have Hypertension moderately high</w:t>
      </w:r>
      <w:r w:rsidR="005716D5">
        <w:t>.</w:t>
      </w:r>
    </w:p>
    <w:p w:rsidR="008F3751" w:rsidRPr="00847AE2" w:rsidRDefault="008F3751" w:rsidP="00833D12">
      <w:pPr>
        <w:pStyle w:val="ListParagraph"/>
        <w:jc w:val="both"/>
        <w:rPr>
          <w:b/>
        </w:rPr>
      </w:pPr>
    </w:p>
    <w:p w:rsidR="00D46FB0" w:rsidRDefault="008F3751" w:rsidP="00833D12">
      <w:pPr>
        <w:pStyle w:val="ListParagraph"/>
        <w:numPr>
          <w:ilvl w:val="0"/>
          <w:numId w:val="2"/>
        </w:numPr>
        <w:jc w:val="both"/>
      </w:pPr>
      <w:r w:rsidRPr="001C4639">
        <w:rPr>
          <w:b/>
        </w:rPr>
        <w:t xml:space="preserve">Hypertension among Adults (age 15-49 years) - Very high (Systolic ≥180 mm of Hg and/or Diastolic ≥110 mm of Hg) </w:t>
      </w:r>
      <w:r w:rsidR="00531B10">
        <w:rPr>
          <w:b/>
          <w:bCs/>
        </w:rPr>
        <w:t xml:space="preserve">( </w:t>
      </w:r>
      <w:r w:rsidRPr="001C4639">
        <w:rPr>
          <w:b/>
          <w:bCs/>
        </w:rPr>
        <w:t>Graph 27</w:t>
      </w:r>
      <w:r w:rsidR="004820A3">
        <w:rPr>
          <w:b/>
          <w:bCs/>
        </w:rPr>
        <w:t xml:space="preserve"> </w:t>
      </w:r>
      <w:r w:rsidRPr="001C4639">
        <w:rPr>
          <w:b/>
          <w:bCs/>
        </w:rPr>
        <w:t>)</w:t>
      </w:r>
      <w:r w:rsidR="004820A3">
        <w:rPr>
          <w:b/>
          <w:bCs/>
        </w:rPr>
        <w:t xml:space="preserve"> </w:t>
      </w:r>
      <w:r w:rsidRPr="001C4639">
        <w:rPr>
          <w:b/>
          <w:bCs/>
        </w:rPr>
        <w:t>:</w:t>
      </w:r>
      <w:r w:rsidR="004820A3" w:rsidRPr="004820A3">
        <w:rPr>
          <w:bCs/>
        </w:rPr>
        <w:t xml:space="preserve"> </w:t>
      </w:r>
      <w:r w:rsidR="004820A3">
        <w:rPr>
          <w:bCs/>
        </w:rPr>
        <w:t>T</w:t>
      </w:r>
      <w:r w:rsidR="004820A3" w:rsidRPr="005F2ABC">
        <w:rPr>
          <w:bCs/>
        </w:rPr>
        <w:t>his indicator</w:t>
      </w:r>
      <w:r w:rsidR="004820A3">
        <w:rPr>
          <w:bCs/>
        </w:rPr>
        <w:t xml:space="preserve"> has been measured for the first time in NFHS IV.</w:t>
      </w:r>
      <w:r w:rsidRPr="001C4639">
        <w:rPr>
          <w:b/>
          <w:bCs/>
        </w:rPr>
        <w:t xml:space="preserve"> </w:t>
      </w:r>
      <w:r w:rsidR="00D46FB0">
        <w:t>In Andhra Pradesh</w:t>
      </w:r>
      <w:r w:rsidR="00531B10">
        <w:t>,</w:t>
      </w:r>
      <w:r w:rsidR="00D46FB0">
        <w:t xml:space="preserve"> 1.6% men and 0.7% women have Hypertension very high</w:t>
      </w:r>
      <w:r w:rsidR="00531B10">
        <w:t>.</w:t>
      </w:r>
      <w:r w:rsidR="00D46FB0">
        <w:t xml:space="preserve"> In Haryana, 0.6% men and 0.5% women have Hypertension very high. In Karnataka</w:t>
      </w:r>
      <w:r w:rsidR="00531B10">
        <w:t>,</w:t>
      </w:r>
      <w:r w:rsidR="00D46FB0">
        <w:t xml:space="preserve"> 1.2% men and 0.7% women, in Maharashtra 0.8% men and 0.6% women, in Tamil Nadu 1.2% men and 0.5% women, </w:t>
      </w:r>
      <w:r w:rsidR="00100561">
        <w:t>I</w:t>
      </w:r>
      <w:r w:rsidR="00D46FB0">
        <w:t>n Telangana 2.7% men and 1% women and in West Bengal 0.8% men and 0.7% women have Hypertension very high</w:t>
      </w:r>
      <w:r w:rsidR="00531B10">
        <w:t xml:space="preserve"> </w:t>
      </w:r>
      <w:r w:rsidR="00531B10" w:rsidRPr="00531B10">
        <w:t>(Systolic ≥180 mm of Hg and/or Diastolic ≥110 mm of Hg).</w:t>
      </w:r>
    </w:p>
    <w:p w:rsidR="00D10FB1" w:rsidRDefault="00D10FB1" w:rsidP="00833D12">
      <w:pPr>
        <w:pStyle w:val="ListParagraph"/>
        <w:jc w:val="both"/>
      </w:pPr>
    </w:p>
    <w:p w:rsidR="00D46FB0" w:rsidRDefault="00D46FB0" w:rsidP="00D46FB0">
      <w:pPr>
        <w:pStyle w:val="ListParagraph"/>
        <w:jc w:val="both"/>
      </w:pPr>
    </w:p>
    <w:p w:rsidR="00D46FB0" w:rsidRDefault="00D46FB0" w:rsidP="00D46FB0">
      <w:pPr>
        <w:pStyle w:val="ListParagraph"/>
        <w:jc w:val="both"/>
      </w:pPr>
    </w:p>
    <w:p w:rsidR="00D46FB0" w:rsidRDefault="00D46FB0" w:rsidP="00D46FB0">
      <w:pPr>
        <w:pStyle w:val="ListParagraph"/>
        <w:jc w:val="both"/>
      </w:pPr>
    </w:p>
    <w:p w:rsidR="000D7DD6" w:rsidRDefault="000D7DD6" w:rsidP="00124FBA">
      <w:pPr>
        <w:jc w:val="center"/>
      </w:pPr>
      <w:r>
        <w:rPr>
          <w:noProof/>
        </w:rPr>
        <w:drawing>
          <wp:inline distT="0" distB="0" distL="0" distR="0">
            <wp:extent cx="5741581" cy="3009014"/>
            <wp:effectExtent l="0" t="0" r="12065"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6FB0" w:rsidRDefault="000D7DD6" w:rsidP="00100561">
      <w:pPr>
        <w:jc w:val="center"/>
        <w:rPr>
          <w:b/>
          <w:sz w:val="28"/>
        </w:rPr>
      </w:pPr>
      <w:r>
        <w:rPr>
          <w:b/>
          <w:sz w:val="28"/>
        </w:rPr>
        <w:t>Graph 1</w:t>
      </w:r>
    </w:p>
    <w:p w:rsidR="00D46FB0" w:rsidRDefault="00D46FB0" w:rsidP="000D7DD6">
      <w:pPr>
        <w:jc w:val="center"/>
        <w:rPr>
          <w:b/>
          <w:sz w:val="28"/>
        </w:rPr>
      </w:pPr>
    </w:p>
    <w:p w:rsidR="00D46FB0" w:rsidRDefault="00D46FB0" w:rsidP="000D7DD6">
      <w:pPr>
        <w:jc w:val="center"/>
        <w:rPr>
          <w:b/>
          <w:sz w:val="28"/>
        </w:rPr>
      </w:pPr>
    </w:p>
    <w:p w:rsidR="00D46FB0" w:rsidRDefault="00D46FB0" w:rsidP="000D7DD6">
      <w:pPr>
        <w:jc w:val="center"/>
        <w:rPr>
          <w:b/>
          <w:sz w:val="28"/>
        </w:rPr>
      </w:pPr>
    </w:p>
    <w:p w:rsidR="00D46FB0" w:rsidRDefault="00D46FB0" w:rsidP="000D7DD6">
      <w:pPr>
        <w:jc w:val="center"/>
        <w:rPr>
          <w:b/>
          <w:sz w:val="28"/>
        </w:rPr>
      </w:pPr>
    </w:p>
    <w:p w:rsidR="000D7DD6" w:rsidRDefault="000D7DD6" w:rsidP="000D7DD6">
      <w:pPr>
        <w:jc w:val="center"/>
        <w:rPr>
          <w:b/>
          <w:sz w:val="28"/>
        </w:rPr>
      </w:pPr>
      <w:r>
        <w:rPr>
          <w:noProof/>
        </w:rPr>
        <w:lastRenderedPageBreak/>
        <w:drawing>
          <wp:inline distT="0" distB="0" distL="0" distR="0">
            <wp:extent cx="5741581" cy="2775097"/>
            <wp:effectExtent l="0" t="0" r="12065"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7DD6" w:rsidRDefault="000D7DD6" w:rsidP="000D7DD6">
      <w:pPr>
        <w:jc w:val="center"/>
        <w:rPr>
          <w:b/>
          <w:sz w:val="28"/>
        </w:rPr>
      </w:pPr>
      <w:r>
        <w:rPr>
          <w:b/>
          <w:sz w:val="28"/>
        </w:rPr>
        <w:t>Graph 2</w:t>
      </w:r>
    </w:p>
    <w:p w:rsidR="00D46FB0" w:rsidRDefault="00D46FB0" w:rsidP="000D7DD6">
      <w:pPr>
        <w:jc w:val="center"/>
        <w:rPr>
          <w:b/>
          <w:sz w:val="28"/>
        </w:rPr>
      </w:pPr>
    </w:p>
    <w:p w:rsidR="00D46FB0" w:rsidRDefault="00D46FB0" w:rsidP="000D7DD6">
      <w:pPr>
        <w:jc w:val="center"/>
        <w:rPr>
          <w:b/>
          <w:sz w:val="28"/>
        </w:rPr>
      </w:pPr>
    </w:p>
    <w:p w:rsidR="00100561" w:rsidRDefault="00100561" w:rsidP="000D7DD6">
      <w:pPr>
        <w:jc w:val="center"/>
        <w:rPr>
          <w:b/>
          <w:sz w:val="28"/>
        </w:rPr>
      </w:pPr>
    </w:p>
    <w:p w:rsidR="000D7DD6" w:rsidRDefault="000D7DD6" w:rsidP="000D7DD6">
      <w:pPr>
        <w:jc w:val="center"/>
        <w:rPr>
          <w:b/>
          <w:sz w:val="28"/>
        </w:rPr>
      </w:pPr>
      <w:r>
        <w:rPr>
          <w:noProof/>
        </w:rPr>
        <w:drawing>
          <wp:inline distT="0" distB="0" distL="0" distR="0">
            <wp:extent cx="5743575" cy="31337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7DD6" w:rsidRDefault="000D7DD6" w:rsidP="000D7DD6">
      <w:pPr>
        <w:jc w:val="center"/>
        <w:rPr>
          <w:b/>
          <w:sz w:val="28"/>
        </w:rPr>
      </w:pPr>
      <w:r>
        <w:rPr>
          <w:b/>
          <w:sz w:val="28"/>
        </w:rPr>
        <w:t>Graph 3</w:t>
      </w:r>
    </w:p>
    <w:p w:rsidR="00D46FB0" w:rsidRDefault="00D46FB0" w:rsidP="000D7DD6">
      <w:pPr>
        <w:jc w:val="center"/>
        <w:rPr>
          <w:b/>
          <w:sz w:val="28"/>
        </w:rPr>
      </w:pPr>
    </w:p>
    <w:p w:rsidR="00D46FB0" w:rsidRDefault="00D46FB0" w:rsidP="000D7DD6">
      <w:pPr>
        <w:jc w:val="center"/>
        <w:rPr>
          <w:b/>
          <w:sz w:val="28"/>
        </w:rPr>
      </w:pPr>
    </w:p>
    <w:p w:rsidR="000D7DD6" w:rsidRDefault="000D7DD6" w:rsidP="000D7DD6">
      <w:pPr>
        <w:jc w:val="center"/>
        <w:rPr>
          <w:b/>
          <w:sz w:val="28"/>
        </w:rPr>
      </w:pPr>
      <w:r>
        <w:rPr>
          <w:noProof/>
        </w:rPr>
        <w:lastRenderedPageBreak/>
        <w:drawing>
          <wp:inline distT="0" distB="0" distL="0" distR="0">
            <wp:extent cx="5743575" cy="29432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7DD6" w:rsidRDefault="000D7DD6" w:rsidP="000D7DD6">
      <w:pPr>
        <w:jc w:val="center"/>
        <w:rPr>
          <w:b/>
          <w:sz w:val="28"/>
        </w:rPr>
      </w:pPr>
      <w:r>
        <w:rPr>
          <w:b/>
          <w:sz w:val="28"/>
        </w:rPr>
        <w:t>Graph 4</w:t>
      </w:r>
    </w:p>
    <w:p w:rsidR="000D7DD6" w:rsidRDefault="000D7DD6" w:rsidP="000D7DD6">
      <w:pPr>
        <w:jc w:val="center"/>
        <w:rPr>
          <w:b/>
          <w:sz w:val="28"/>
        </w:rPr>
      </w:pPr>
    </w:p>
    <w:p w:rsidR="00D46FB0" w:rsidRDefault="00D46FB0" w:rsidP="000D7DD6">
      <w:pPr>
        <w:jc w:val="center"/>
        <w:rPr>
          <w:b/>
          <w:sz w:val="28"/>
        </w:rPr>
      </w:pPr>
    </w:p>
    <w:p w:rsidR="00100561" w:rsidRDefault="00100561" w:rsidP="000D7DD6">
      <w:pPr>
        <w:jc w:val="center"/>
        <w:rPr>
          <w:b/>
          <w:sz w:val="28"/>
        </w:rPr>
      </w:pPr>
    </w:p>
    <w:p w:rsidR="000D7DD6" w:rsidRDefault="000D7DD6" w:rsidP="000D7DD6">
      <w:pPr>
        <w:jc w:val="center"/>
        <w:rPr>
          <w:b/>
          <w:sz w:val="28"/>
        </w:rPr>
      </w:pPr>
      <w:r>
        <w:rPr>
          <w:noProof/>
        </w:rPr>
        <w:drawing>
          <wp:inline distT="0" distB="0" distL="0" distR="0">
            <wp:extent cx="5743575" cy="2943225"/>
            <wp:effectExtent l="0" t="0" r="9525"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7DD6" w:rsidRDefault="000D7DD6" w:rsidP="000D7DD6">
      <w:pPr>
        <w:jc w:val="center"/>
        <w:rPr>
          <w:b/>
          <w:sz w:val="28"/>
        </w:rPr>
      </w:pPr>
      <w:r>
        <w:rPr>
          <w:b/>
          <w:sz w:val="28"/>
        </w:rPr>
        <w:t>Graph 5</w:t>
      </w:r>
    </w:p>
    <w:p w:rsidR="000D7DD6" w:rsidRDefault="000D7DD6" w:rsidP="000D7DD6">
      <w:pPr>
        <w:jc w:val="center"/>
        <w:rPr>
          <w:b/>
          <w:sz w:val="28"/>
        </w:rPr>
      </w:pPr>
    </w:p>
    <w:p w:rsidR="00D46FB0" w:rsidRDefault="00D46FB0" w:rsidP="000D7DD6">
      <w:pPr>
        <w:jc w:val="center"/>
        <w:rPr>
          <w:b/>
          <w:sz w:val="28"/>
        </w:rPr>
      </w:pPr>
    </w:p>
    <w:p w:rsidR="000D7DD6" w:rsidRDefault="000D7DD6" w:rsidP="000D7DD6">
      <w:pPr>
        <w:jc w:val="center"/>
        <w:rPr>
          <w:b/>
          <w:sz w:val="28"/>
        </w:rPr>
      </w:pPr>
      <w:r>
        <w:rPr>
          <w:noProof/>
        </w:rPr>
        <w:lastRenderedPageBreak/>
        <w:drawing>
          <wp:inline distT="0" distB="0" distL="0" distR="0">
            <wp:extent cx="5743575" cy="2943225"/>
            <wp:effectExtent l="0" t="0" r="9525"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7DD6" w:rsidRDefault="000D7DD6" w:rsidP="000D7DD6">
      <w:pPr>
        <w:jc w:val="center"/>
        <w:rPr>
          <w:b/>
          <w:sz w:val="28"/>
        </w:rPr>
      </w:pPr>
      <w:r>
        <w:rPr>
          <w:b/>
          <w:sz w:val="28"/>
        </w:rPr>
        <w:t>Graph 6</w:t>
      </w:r>
    </w:p>
    <w:p w:rsidR="00D46FB0" w:rsidRDefault="00D46FB0" w:rsidP="000D7DD6">
      <w:pPr>
        <w:jc w:val="center"/>
        <w:rPr>
          <w:b/>
          <w:sz w:val="28"/>
        </w:rPr>
      </w:pPr>
    </w:p>
    <w:p w:rsidR="00D46FB0" w:rsidRDefault="00D46FB0" w:rsidP="000D7DD6">
      <w:pPr>
        <w:jc w:val="center"/>
        <w:rPr>
          <w:b/>
          <w:sz w:val="28"/>
        </w:rPr>
      </w:pPr>
    </w:p>
    <w:p w:rsidR="000D7DD6" w:rsidRDefault="000D7DD6" w:rsidP="000D7DD6">
      <w:pPr>
        <w:jc w:val="center"/>
        <w:rPr>
          <w:b/>
          <w:sz w:val="28"/>
        </w:rPr>
      </w:pPr>
    </w:p>
    <w:p w:rsidR="000D7DD6" w:rsidRDefault="000D7DD6" w:rsidP="000D7DD6">
      <w:pPr>
        <w:jc w:val="center"/>
        <w:rPr>
          <w:b/>
          <w:sz w:val="28"/>
        </w:rPr>
      </w:pPr>
      <w:r>
        <w:rPr>
          <w:noProof/>
        </w:rPr>
        <w:drawing>
          <wp:inline distT="0" distB="0" distL="0" distR="0">
            <wp:extent cx="5743575" cy="2943225"/>
            <wp:effectExtent l="0" t="0" r="9525"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7DD6" w:rsidRDefault="000D7DD6" w:rsidP="000D7DD6">
      <w:pPr>
        <w:jc w:val="center"/>
        <w:rPr>
          <w:b/>
          <w:sz w:val="28"/>
        </w:rPr>
      </w:pPr>
      <w:r>
        <w:rPr>
          <w:b/>
          <w:sz w:val="28"/>
        </w:rPr>
        <w:t>Graph 7</w:t>
      </w:r>
    </w:p>
    <w:p w:rsidR="000D7DD6" w:rsidRDefault="000D7DD6" w:rsidP="000D7DD6">
      <w:pPr>
        <w:jc w:val="center"/>
        <w:rPr>
          <w:b/>
          <w:sz w:val="28"/>
        </w:rPr>
      </w:pPr>
    </w:p>
    <w:p w:rsidR="00D46FB0" w:rsidRDefault="00D46FB0" w:rsidP="000D7DD6">
      <w:pPr>
        <w:jc w:val="center"/>
        <w:rPr>
          <w:b/>
          <w:sz w:val="28"/>
        </w:rPr>
      </w:pPr>
    </w:p>
    <w:p w:rsidR="00D46FB0" w:rsidRDefault="00D46FB0" w:rsidP="000D7DD6">
      <w:pPr>
        <w:jc w:val="center"/>
        <w:rPr>
          <w:b/>
          <w:sz w:val="28"/>
        </w:rPr>
      </w:pPr>
    </w:p>
    <w:p w:rsidR="000D7DD6" w:rsidRDefault="000D7DD6" w:rsidP="000D7DD6">
      <w:pPr>
        <w:jc w:val="center"/>
        <w:rPr>
          <w:b/>
          <w:sz w:val="28"/>
        </w:rPr>
      </w:pPr>
      <w:r>
        <w:rPr>
          <w:noProof/>
        </w:rPr>
        <w:drawing>
          <wp:inline distT="0" distB="0" distL="0" distR="0">
            <wp:extent cx="5743575" cy="3609975"/>
            <wp:effectExtent l="0" t="0" r="9525"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D7DD6" w:rsidRDefault="000D7DD6" w:rsidP="000D7DD6">
      <w:pPr>
        <w:jc w:val="center"/>
        <w:rPr>
          <w:b/>
          <w:sz w:val="28"/>
        </w:rPr>
      </w:pPr>
      <w:r>
        <w:rPr>
          <w:b/>
          <w:sz w:val="28"/>
        </w:rPr>
        <w:t>Graph 8</w:t>
      </w:r>
    </w:p>
    <w:p w:rsidR="00100561" w:rsidRDefault="00100561" w:rsidP="000D7DD6">
      <w:pPr>
        <w:jc w:val="center"/>
        <w:rPr>
          <w:b/>
          <w:sz w:val="28"/>
        </w:rPr>
      </w:pPr>
    </w:p>
    <w:p w:rsidR="00D46FB0" w:rsidRDefault="00D46FB0" w:rsidP="000D7DD6">
      <w:pPr>
        <w:jc w:val="center"/>
        <w:rPr>
          <w:b/>
          <w:sz w:val="28"/>
        </w:rPr>
      </w:pPr>
    </w:p>
    <w:p w:rsidR="000D7DD6" w:rsidRDefault="000D7DD6" w:rsidP="000D7DD6">
      <w:pPr>
        <w:jc w:val="center"/>
        <w:rPr>
          <w:b/>
          <w:sz w:val="28"/>
        </w:rPr>
      </w:pPr>
      <w:r>
        <w:rPr>
          <w:noProof/>
        </w:rPr>
        <w:drawing>
          <wp:inline distT="0" distB="0" distL="0" distR="0">
            <wp:extent cx="5741582" cy="2913321"/>
            <wp:effectExtent l="0" t="0" r="12065" b="2095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7DD6" w:rsidRDefault="000D7DD6" w:rsidP="000D7DD6">
      <w:pPr>
        <w:jc w:val="center"/>
        <w:rPr>
          <w:b/>
          <w:sz w:val="28"/>
        </w:rPr>
      </w:pPr>
      <w:r>
        <w:rPr>
          <w:b/>
          <w:sz w:val="28"/>
        </w:rPr>
        <w:t>Graph 9</w:t>
      </w:r>
    </w:p>
    <w:p w:rsidR="00D46FB0" w:rsidRDefault="00D46FB0" w:rsidP="000D7DD6">
      <w:pPr>
        <w:jc w:val="center"/>
        <w:rPr>
          <w:b/>
          <w:sz w:val="28"/>
        </w:rPr>
      </w:pPr>
    </w:p>
    <w:p w:rsidR="00C6080A" w:rsidRDefault="00B36698" w:rsidP="000D7DD6">
      <w:pPr>
        <w:jc w:val="center"/>
        <w:rPr>
          <w:b/>
          <w:sz w:val="28"/>
        </w:rPr>
      </w:pPr>
      <w:r>
        <w:rPr>
          <w:noProof/>
        </w:rPr>
        <w:drawing>
          <wp:inline distT="0" distB="0" distL="0" distR="0">
            <wp:extent cx="5743575" cy="29432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6080A" w:rsidRDefault="00C6080A" w:rsidP="00C6080A">
      <w:pPr>
        <w:jc w:val="center"/>
        <w:rPr>
          <w:b/>
          <w:sz w:val="28"/>
        </w:rPr>
      </w:pPr>
      <w:r>
        <w:rPr>
          <w:b/>
          <w:sz w:val="28"/>
        </w:rPr>
        <w:t>Graph 10</w:t>
      </w:r>
    </w:p>
    <w:p w:rsidR="00C6080A" w:rsidRDefault="00C6080A" w:rsidP="000D7DD6">
      <w:pPr>
        <w:jc w:val="center"/>
        <w:rPr>
          <w:b/>
          <w:sz w:val="28"/>
        </w:rPr>
      </w:pPr>
    </w:p>
    <w:p w:rsidR="00D46FB0" w:rsidRDefault="00D46FB0" w:rsidP="000D7DD6">
      <w:pPr>
        <w:jc w:val="center"/>
        <w:rPr>
          <w:b/>
          <w:sz w:val="28"/>
        </w:rPr>
      </w:pPr>
    </w:p>
    <w:p w:rsidR="00D46FB0" w:rsidRDefault="00D46FB0" w:rsidP="000D7DD6">
      <w:pPr>
        <w:jc w:val="center"/>
        <w:rPr>
          <w:b/>
          <w:sz w:val="28"/>
        </w:rPr>
      </w:pPr>
    </w:p>
    <w:p w:rsidR="000D7DD6" w:rsidRDefault="00C6080A" w:rsidP="000D7DD6">
      <w:pPr>
        <w:jc w:val="center"/>
        <w:rPr>
          <w:b/>
          <w:sz w:val="28"/>
        </w:rPr>
      </w:pPr>
      <w:r>
        <w:rPr>
          <w:noProof/>
        </w:rPr>
        <w:drawing>
          <wp:inline distT="0" distB="0" distL="0" distR="0">
            <wp:extent cx="5743575" cy="2943225"/>
            <wp:effectExtent l="0" t="0" r="9525"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6080A" w:rsidRDefault="00C6080A" w:rsidP="00C6080A">
      <w:pPr>
        <w:jc w:val="center"/>
        <w:rPr>
          <w:b/>
          <w:sz w:val="28"/>
        </w:rPr>
      </w:pPr>
      <w:r>
        <w:rPr>
          <w:b/>
          <w:sz w:val="28"/>
        </w:rPr>
        <w:t>Graph 11</w:t>
      </w:r>
    </w:p>
    <w:p w:rsidR="00D46FB0" w:rsidRDefault="00D46FB0" w:rsidP="00C6080A">
      <w:pPr>
        <w:jc w:val="center"/>
        <w:rPr>
          <w:b/>
          <w:sz w:val="28"/>
        </w:rPr>
      </w:pPr>
    </w:p>
    <w:p w:rsidR="00100561" w:rsidRDefault="00100561" w:rsidP="00C6080A">
      <w:pPr>
        <w:jc w:val="center"/>
        <w:rPr>
          <w:b/>
          <w:sz w:val="28"/>
        </w:rPr>
      </w:pPr>
    </w:p>
    <w:p w:rsidR="00BD2FC2" w:rsidRDefault="00BD2FC2" w:rsidP="00C6080A">
      <w:pPr>
        <w:jc w:val="center"/>
        <w:rPr>
          <w:b/>
          <w:sz w:val="28"/>
        </w:rPr>
      </w:pPr>
      <w:r>
        <w:rPr>
          <w:noProof/>
        </w:rPr>
        <w:drawing>
          <wp:inline distT="0" distB="0" distL="0" distR="0">
            <wp:extent cx="5743575" cy="2943225"/>
            <wp:effectExtent l="19050" t="0" r="9525"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D2FC2" w:rsidRDefault="00BD2FC2" w:rsidP="00BD2FC2">
      <w:pPr>
        <w:jc w:val="center"/>
        <w:rPr>
          <w:b/>
          <w:sz w:val="28"/>
        </w:rPr>
      </w:pPr>
      <w:r>
        <w:rPr>
          <w:b/>
          <w:sz w:val="28"/>
        </w:rPr>
        <w:t>Graph 12</w:t>
      </w:r>
    </w:p>
    <w:p w:rsidR="00D46FB0" w:rsidRDefault="00D46FB0" w:rsidP="00BD2FC2">
      <w:pPr>
        <w:jc w:val="center"/>
        <w:rPr>
          <w:b/>
          <w:sz w:val="28"/>
        </w:rPr>
      </w:pPr>
    </w:p>
    <w:p w:rsidR="00D46FB0" w:rsidRDefault="00D46FB0" w:rsidP="00BD2FC2">
      <w:pPr>
        <w:jc w:val="center"/>
        <w:rPr>
          <w:b/>
          <w:sz w:val="28"/>
        </w:rPr>
      </w:pPr>
    </w:p>
    <w:p w:rsidR="00BD2FC2" w:rsidRDefault="00BD2FC2" w:rsidP="00C6080A">
      <w:pPr>
        <w:jc w:val="center"/>
        <w:rPr>
          <w:b/>
          <w:sz w:val="28"/>
        </w:rPr>
      </w:pPr>
    </w:p>
    <w:p w:rsidR="00C6080A" w:rsidRDefault="00BD2FC2" w:rsidP="00C6080A">
      <w:pPr>
        <w:jc w:val="center"/>
        <w:rPr>
          <w:b/>
          <w:sz w:val="28"/>
        </w:rPr>
      </w:pPr>
      <w:r>
        <w:rPr>
          <w:noProof/>
        </w:rPr>
        <w:drawing>
          <wp:inline distT="0" distB="0" distL="0" distR="0">
            <wp:extent cx="5743575" cy="2943225"/>
            <wp:effectExtent l="0" t="0" r="9525"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D2FC2" w:rsidRDefault="00BD2FC2" w:rsidP="00BD2FC2">
      <w:pPr>
        <w:jc w:val="center"/>
        <w:rPr>
          <w:b/>
          <w:sz w:val="28"/>
        </w:rPr>
      </w:pPr>
      <w:r>
        <w:rPr>
          <w:b/>
          <w:sz w:val="28"/>
        </w:rPr>
        <w:t>Graph 13</w:t>
      </w:r>
    </w:p>
    <w:p w:rsidR="00D46FB0" w:rsidRDefault="00D46FB0" w:rsidP="00BD2FC2">
      <w:pPr>
        <w:jc w:val="center"/>
        <w:rPr>
          <w:b/>
          <w:sz w:val="28"/>
        </w:rPr>
      </w:pPr>
    </w:p>
    <w:p w:rsidR="0055260E" w:rsidRDefault="0055260E" w:rsidP="00BD2FC2">
      <w:pPr>
        <w:jc w:val="center"/>
        <w:rPr>
          <w:b/>
          <w:sz w:val="28"/>
        </w:rPr>
      </w:pPr>
      <w:r>
        <w:rPr>
          <w:noProof/>
        </w:rPr>
        <w:lastRenderedPageBreak/>
        <w:drawing>
          <wp:inline distT="0" distB="0" distL="0" distR="0">
            <wp:extent cx="5743575" cy="3467100"/>
            <wp:effectExtent l="0" t="0" r="9525"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5260E" w:rsidRDefault="0055260E" w:rsidP="0055260E">
      <w:pPr>
        <w:jc w:val="center"/>
        <w:rPr>
          <w:b/>
          <w:sz w:val="28"/>
        </w:rPr>
      </w:pPr>
      <w:r>
        <w:rPr>
          <w:b/>
          <w:sz w:val="28"/>
        </w:rPr>
        <w:t>Graph 14</w:t>
      </w:r>
    </w:p>
    <w:p w:rsidR="00100561" w:rsidRDefault="00100561" w:rsidP="0055260E">
      <w:pPr>
        <w:jc w:val="center"/>
        <w:rPr>
          <w:b/>
          <w:sz w:val="28"/>
        </w:rPr>
      </w:pPr>
    </w:p>
    <w:p w:rsidR="0055260E" w:rsidRDefault="0055260E" w:rsidP="00BD2FC2">
      <w:pPr>
        <w:jc w:val="center"/>
        <w:rPr>
          <w:b/>
          <w:sz w:val="28"/>
        </w:rPr>
      </w:pPr>
    </w:p>
    <w:p w:rsidR="0055260E" w:rsidRDefault="0055260E" w:rsidP="00BD2FC2">
      <w:pPr>
        <w:jc w:val="center"/>
        <w:rPr>
          <w:b/>
          <w:sz w:val="28"/>
        </w:rPr>
      </w:pPr>
      <w:r>
        <w:rPr>
          <w:noProof/>
        </w:rPr>
        <w:drawing>
          <wp:inline distT="0" distB="0" distL="0" distR="0">
            <wp:extent cx="5743575" cy="3438525"/>
            <wp:effectExtent l="0" t="0" r="9525"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46FB0" w:rsidRDefault="007A0B19" w:rsidP="00100561">
      <w:pPr>
        <w:jc w:val="center"/>
        <w:rPr>
          <w:b/>
          <w:sz w:val="28"/>
        </w:rPr>
      </w:pPr>
      <w:r>
        <w:rPr>
          <w:b/>
          <w:sz w:val="28"/>
        </w:rPr>
        <w:t>Graph 15</w:t>
      </w:r>
    </w:p>
    <w:p w:rsidR="00D46FB0" w:rsidRDefault="00D46FB0" w:rsidP="007A0B19">
      <w:pPr>
        <w:jc w:val="center"/>
        <w:rPr>
          <w:b/>
          <w:sz w:val="28"/>
        </w:rPr>
      </w:pPr>
    </w:p>
    <w:p w:rsidR="004212A1" w:rsidRDefault="004212A1" w:rsidP="007A0B19">
      <w:pPr>
        <w:jc w:val="center"/>
        <w:rPr>
          <w:b/>
          <w:sz w:val="28"/>
        </w:rPr>
      </w:pPr>
      <w:r>
        <w:rPr>
          <w:noProof/>
        </w:rPr>
        <w:drawing>
          <wp:inline distT="0" distB="0" distL="0" distR="0">
            <wp:extent cx="5743575" cy="3295650"/>
            <wp:effectExtent l="0" t="0" r="9525" b="190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212A1" w:rsidRDefault="004212A1" w:rsidP="004212A1">
      <w:pPr>
        <w:jc w:val="center"/>
        <w:rPr>
          <w:b/>
          <w:sz w:val="28"/>
        </w:rPr>
      </w:pPr>
      <w:r>
        <w:rPr>
          <w:b/>
          <w:sz w:val="28"/>
        </w:rPr>
        <w:t>Graph 16</w:t>
      </w:r>
    </w:p>
    <w:p w:rsidR="00D46FB0" w:rsidRDefault="00D46FB0" w:rsidP="004212A1">
      <w:pPr>
        <w:jc w:val="center"/>
        <w:rPr>
          <w:b/>
          <w:sz w:val="28"/>
        </w:rPr>
      </w:pPr>
    </w:p>
    <w:p w:rsidR="004212A1" w:rsidRDefault="004212A1" w:rsidP="007A0B19">
      <w:pPr>
        <w:jc w:val="center"/>
        <w:rPr>
          <w:b/>
          <w:sz w:val="28"/>
        </w:rPr>
      </w:pPr>
    </w:p>
    <w:p w:rsidR="004212A1" w:rsidRDefault="004212A1" w:rsidP="007A0B19">
      <w:pPr>
        <w:jc w:val="center"/>
        <w:rPr>
          <w:b/>
          <w:sz w:val="28"/>
        </w:rPr>
      </w:pPr>
      <w:r>
        <w:rPr>
          <w:noProof/>
        </w:rPr>
        <w:drawing>
          <wp:inline distT="0" distB="0" distL="0" distR="0">
            <wp:extent cx="5743575" cy="3228975"/>
            <wp:effectExtent l="0" t="0" r="9525" b="95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46FB0" w:rsidRDefault="004212A1" w:rsidP="00100561">
      <w:pPr>
        <w:jc w:val="center"/>
        <w:rPr>
          <w:b/>
          <w:sz w:val="28"/>
        </w:rPr>
      </w:pPr>
      <w:r>
        <w:rPr>
          <w:b/>
          <w:sz w:val="28"/>
        </w:rPr>
        <w:t>Graph 17</w:t>
      </w:r>
    </w:p>
    <w:p w:rsidR="004212A1" w:rsidRDefault="004212A1" w:rsidP="004212A1">
      <w:pPr>
        <w:jc w:val="center"/>
        <w:rPr>
          <w:b/>
          <w:sz w:val="28"/>
        </w:rPr>
      </w:pPr>
      <w:r>
        <w:rPr>
          <w:noProof/>
        </w:rPr>
        <w:lastRenderedPageBreak/>
        <w:drawing>
          <wp:inline distT="0" distB="0" distL="0" distR="0">
            <wp:extent cx="5743575" cy="2943225"/>
            <wp:effectExtent l="0" t="0" r="9525" b="952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212A1" w:rsidRDefault="004212A1" w:rsidP="004212A1">
      <w:pPr>
        <w:jc w:val="center"/>
        <w:rPr>
          <w:b/>
          <w:sz w:val="28"/>
        </w:rPr>
      </w:pPr>
      <w:r>
        <w:rPr>
          <w:b/>
          <w:sz w:val="28"/>
        </w:rPr>
        <w:t>Graph 18</w:t>
      </w:r>
    </w:p>
    <w:p w:rsidR="00D46FB0" w:rsidRDefault="00D46FB0" w:rsidP="004212A1">
      <w:pPr>
        <w:jc w:val="center"/>
        <w:rPr>
          <w:b/>
          <w:sz w:val="28"/>
        </w:rPr>
      </w:pPr>
    </w:p>
    <w:p w:rsidR="00D46FB0" w:rsidRDefault="00D46FB0" w:rsidP="004212A1">
      <w:pPr>
        <w:jc w:val="center"/>
        <w:rPr>
          <w:b/>
          <w:sz w:val="28"/>
        </w:rPr>
      </w:pPr>
    </w:p>
    <w:p w:rsidR="004212A1" w:rsidRDefault="004212A1" w:rsidP="004212A1">
      <w:pPr>
        <w:jc w:val="center"/>
        <w:rPr>
          <w:b/>
          <w:sz w:val="28"/>
        </w:rPr>
      </w:pPr>
    </w:p>
    <w:p w:rsidR="004212A1" w:rsidRDefault="004212A1" w:rsidP="004212A1">
      <w:pPr>
        <w:jc w:val="center"/>
        <w:rPr>
          <w:b/>
          <w:sz w:val="28"/>
        </w:rPr>
      </w:pPr>
      <w:r>
        <w:rPr>
          <w:noProof/>
        </w:rPr>
        <w:drawing>
          <wp:inline distT="0" distB="0" distL="0" distR="0">
            <wp:extent cx="5743575" cy="2943225"/>
            <wp:effectExtent l="0" t="0" r="9525" b="952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212A1" w:rsidRDefault="004212A1" w:rsidP="004212A1">
      <w:pPr>
        <w:jc w:val="center"/>
        <w:rPr>
          <w:b/>
          <w:sz w:val="28"/>
        </w:rPr>
      </w:pPr>
      <w:r>
        <w:rPr>
          <w:b/>
          <w:sz w:val="28"/>
        </w:rPr>
        <w:t>Graph 19</w:t>
      </w:r>
    </w:p>
    <w:p w:rsidR="00D46FB0" w:rsidRDefault="00D46FB0" w:rsidP="004212A1">
      <w:pPr>
        <w:jc w:val="center"/>
        <w:rPr>
          <w:b/>
          <w:sz w:val="28"/>
        </w:rPr>
      </w:pPr>
    </w:p>
    <w:p w:rsidR="00D46FB0" w:rsidRDefault="00D46FB0" w:rsidP="004212A1">
      <w:pPr>
        <w:jc w:val="center"/>
        <w:rPr>
          <w:b/>
          <w:sz w:val="28"/>
        </w:rPr>
      </w:pPr>
    </w:p>
    <w:p w:rsidR="00D46FB0" w:rsidRDefault="00D46FB0" w:rsidP="004212A1">
      <w:pPr>
        <w:jc w:val="center"/>
        <w:rPr>
          <w:b/>
          <w:sz w:val="28"/>
        </w:rPr>
      </w:pPr>
    </w:p>
    <w:p w:rsidR="004212A1" w:rsidRDefault="004212A1" w:rsidP="004212A1">
      <w:pPr>
        <w:jc w:val="center"/>
        <w:rPr>
          <w:b/>
          <w:sz w:val="28"/>
        </w:rPr>
      </w:pPr>
      <w:r>
        <w:rPr>
          <w:noProof/>
        </w:rPr>
        <w:drawing>
          <wp:inline distT="0" distB="0" distL="0" distR="0">
            <wp:extent cx="5743575" cy="2943225"/>
            <wp:effectExtent l="0" t="0" r="9525" b="952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212A1" w:rsidRDefault="004212A1" w:rsidP="004212A1">
      <w:pPr>
        <w:jc w:val="center"/>
        <w:rPr>
          <w:b/>
          <w:sz w:val="28"/>
        </w:rPr>
      </w:pPr>
      <w:r>
        <w:rPr>
          <w:b/>
          <w:sz w:val="28"/>
        </w:rPr>
        <w:t>Graph 20</w:t>
      </w:r>
    </w:p>
    <w:p w:rsidR="00D46FB0" w:rsidRDefault="00D46FB0" w:rsidP="004212A1">
      <w:pPr>
        <w:jc w:val="center"/>
        <w:rPr>
          <w:b/>
          <w:sz w:val="28"/>
        </w:rPr>
      </w:pPr>
    </w:p>
    <w:p w:rsidR="00D46FB0" w:rsidRDefault="00D46FB0" w:rsidP="004212A1">
      <w:pPr>
        <w:jc w:val="center"/>
        <w:rPr>
          <w:b/>
          <w:sz w:val="28"/>
        </w:rPr>
      </w:pPr>
    </w:p>
    <w:p w:rsidR="004212A1" w:rsidRDefault="004212A1" w:rsidP="004212A1">
      <w:pPr>
        <w:jc w:val="center"/>
        <w:rPr>
          <w:b/>
          <w:sz w:val="28"/>
        </w:rPr>
      </w:pPr>
    </w:p>
    <w:p w:rsidR="004212A1" w:rsidRDefault="004212A1" w:rsidP="004212A1">
      <w:pPr>
        <w:jc w:val="center"/>
        <w:rPr>
          <w:b/>
          <w:sz w:val="28"/>
        </w:rPr>
      </w:pPr>
      <w:r>
        <w:rPr>
          <w:noProof/>
        </w:rPr>
        <w:drawing>
          <wp:inline distT="0" distB="0" distL="0" distR="0">
            <wp:extent cx="5743575" cy="2943225"/>
            <wp:effectExtent l="0" t="0" r="9525" b="952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212A1" w:rsidRDefault="004212A1" w:rsidP="004212A1">
      <w:pPr>
        <w:jc w:val="center"/>
        <w:rPr>
          <w:b/>
          <w:sz w:val="28"/>
        </w:rPr>
      </w:pPr>
      <w:r>
        <w:rPr>
          <w:b/>
          <w:sz w:val="28"/>
        </w:rPr>
        <w:t>Graph 21</w:t>
      </w:r>
    </w:p>
    <w:p w:rsidR="00D46FB0" w:rsidRDefault="00D46FB0" w:rsidP="00100561">
      <w:pPr>
        <w:rPr>
          <w:b/>
          <w:sz w:val="28"/>
        </w:rPr>
      </w:pPr>
    </w:p>
    <w:p w:rsidR="006646B7" w:rsidRDefault="006646B7" w:rsidP="004212A1">
      <w:pPr>
        <w:jc w:val="center"/>
        <w:rPr>
          <w:b/>
          <w:sz w:val="28"/>
        </w:rPr>
      </w:pPr>
    </w:p>
    <w:p w:rsidR="006646B7" w:rsidRDefault="006646B7" w:rsidP="004212A1">
      <w:pPr>
        <w:jc w:val="center"/>
        <w:rPr>
          <w:b/>
          <w:sz w:val="28"/>
        </w:rPr>
      </w:pPr>
      <w:r>
        <w:rPr>
          <w:noProof/>
        </w:rPr>
        <w:drawing>
          <wp:inline distT="0" distB="0" distL="0" distR="0">
            <wp:extent cx="5743575" cy="2943225"/>
            <wp:effectExtent l="0" t="0" r="9525" b="952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646B7" w:rsidRDefault="006646B7" w:rsidP="006646B7">
      <w:pPr>
        <w:jc w:val="center"/>
        <w:rPr>
          <w:b/>
          <w:sz w:val="28"/>
        </w:rPr>
      </w:pPr>
      <w:r>
        <w:rPr>
          <w:b/>
          <w:sz w:val="28"/>
        </w:rPr>
        <w:t>Graph 22</w:t>
      </w:r>
    </w:p>
    <w:p w:rsidR="006646B7" w:rsidRDefault="006646B7" w:rsidP="004212A1">
      <w:pPr>
        <w:jc w:val="center"/>
        <w:rPr>
          <w:b/>
          <w:sz w:val="28"/>
        </w:rPr>
      </w:pPr>
    </w:p>
    <w:p w:rsidR="004212A1" w:rsidRDefault="004212A1" w:rsidP="004212A1">
      <w:pPr>
        <w:jc w:val="center"/>
        <w:rPr>
          <w:b/>
          <w:sz w:val="28"/>
        </w:rPr>
      </w:pPr>
    </w:p>
    <w:p w:rsidR="00A538E1" w:rsidRDefault="00A538E1" w:rsidP="006646B7">
      <w:pPr>
        <w:jc w:val="center"/>
        <w:rPr>
          <w:b/>
          <w:sz w:val="28"/>
        </w:rPr>
      </w:pPr>
    </w:p>
    <w:p w:rsidR="00A538E1" w:rsidRDefault="00A538E1" w:rsidP="006646B7">
      <w:pPr>
        <w:jc w:val="center"/>
        <w:rPr>
          <w:b/>
          <w:sz w:val="28"/>
        </w:rPr>
      </w:pPr>
      <w:r>
        <w:rPr>
          <w:noProof/>
        </w:rPr>
        <w:drawing>
          <wp:inline distT="0" distB="0" distL="0" distR="0">
            <wp:extent cx="5743575" cy="2943225"/>
            <wp:effectExtent l="0" t="0" r="9525" b="952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538E1" w:rsidRDefault="00A538E1" w:rsidP="00A538E1">
      <w:pPr>
        <w:jc w:val="center"/>
        <w:rPr>
          <w:b/>
          <w:sz w:val="28"/>
        </w:rPr>
      </w:pPr>
      <w:r>
        <w:rPr>
          <w:b/>
          <w:sz w:val="28"/>
        </w:rPr>
        <w:t xml:space="preserve">Graph </w:t>
      </w:r>
      <w:r w:rsidR="00D30B32">
        <w:rPr>
          <w:b/>
          <w:sz w:val="28"/>
        </w:rPr>
        <w:t>23</w:t>
      </w:r>
    </w:p>
    <w:p w:rsidR="00D46FB0" w:rsidRDefault="00D46FB0" w:rsidP="00A538E1">
      <w:pPr>
        <w:jc w:val="center"/>
        <w:rPr>
          <w:b/>
          <w:sz w:val="28"/>
        </w:rPr>
      </w:pPr>
    </w:p>
    <w:p w:rsidR="00A538E1" w:rsidRDefault="00A538E1" w:rsidP="006646B7">
      <w:pPr>
        <w:jc w:val="center"/>
        <w:rPr>
          <w:b/>
          <w:sz w:val="28"/>
        </w:rPr>
      </w:pPr>
    </w:p>
    <w:p w:rsidR="00A538E1" w:rsidRDefault="00A538E1" w:rsidP="006646B7">
      <w:pPr>
        <w:jc w:val="center"/>
        <w:rPr>
          <w:b/>
          <w:sz w:val="28"/>
        </w:rPr>
      </w:pPr>
      <w:r>
        <w:rPr>
          <w:noProof/>
        </w:rPr>
        <w:drawing>
          <wp:inline distT="0" distB="0" distL="0" distR="0">
            <wp:extent cx="5743575" cy="2943225"/>
            <wp:effectExtent l="0" t="0" r="9525" b="952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538E1" w:rsidRDefault="00A538E1" w:rsidP="00A538E1">
      <w:pPr>
        <w:jc w:val="center"/>
        <w:rPr>
          <w:b/>
          <w:sz w:val="28"/>
        </w:rPr>
      </w:pPr>
      <w:r>
        <w:rPr>
          <w:b/>
          <w:sz w:val="28"/>
        </w:rPr>
        <w:t>Graph 2</w:t>
      </w:r>
      <w:r w:rsidR="00D30B32">
        <w:rPr>
          <w:b/>
          <w:sz w:val="28"/>
        </w:rPr>
        <w:t>4</w:t>
      </w:r>
    </w:p>
    <w:p w:rsidR="00A538E1" w:rsidRDefault="00A538E1" w:rsidP="00A538E1">
      <w:pPr>
        <w:jc w:val="center"/>
        <w:rPr>
          <w:b/>
          <w:sz w:val="28"/>
        </w:rPr>
      </w:pPr>
    </w:p>
    <w:p w:rsidR="00D46FB0" w:rsidRDefault="00D46FB0" w:rsidP="00A538E1">
      <w:pPr>
        <w:jc w:val="center"/>
        <w:rPr>
          <w:b/>
          <w:sz w:val="28"/>
        </w:rPr>
      </w:pPr>
    </w:p>
    <w:p w:rsidR="00D46FB0" w:rsidRDefault="00D46FB0" w:rsidP="00A538E1">
      <w:pPr>
        <w:jc w:val="center"/>
        <w:rPr>
          <w:b/>
          <w:sz w:val="28"/>
        </w:rPr>
      </w:pPr>
    </w:p>
    <w:p w:rsidR="00A538E1" w:rsidRDefault="00A538E1" w:rsidP="00A538E1">
      <w:pPr>
        <w:jc w:val="center"/>
        <w:rPr>
          <w:b/>
          <w:sz w:val="28"/>
        </w:rPr>
      </w:pPr>
      <w:r>
        <w:rPr>
          <w:noProof/>
        </w:rPr>
        <w:drawing>
          <wp:inline distT="0" distB="0" distL="0" distR="0">
            <wp:extent cx="5743575" cy="2943225"/>
            <wp:effectExtent l="0" t="0" r="9525" b="952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538E1" w:rsidRDefault="00A538E1" w:rsidP="00A538E1">
      <w:pPr>
        <w:jc w:val="center"/>
        <w:rPr>
          <w:b/>
          <w:sz w:val="28"/>
        </w:rPr>
      </w:pPr>
      <w:r>
        <w:rPr>
          <w:b/>
          <w:sz w:val="28"/>
        </w:rPr>
        <w:t>Graph 2</w:t>
      </w:r>
      <w:r w:rsidR="00D30B32">
        <w:rPr>
          <w:b/>
          <w:sz w:val="28"/>
        </w:rPr>
        <w:t>5</w:t>
      </w:r>
    </w:p>
    <w:p w:rsidR="00D46FB0" w:rsidRDefault="00D46FB0" w:rsidP="00A538E1">
      <w:pPr>
        <w:jc w:val="center"/>
        <w:rPr>
          <w:b/>
          <w:sz w:val="28"/>
        </w:rPr>
      </w:pPr>
    </w:p>
    <w:p w:rsidR="00A538E1" w:rsidRDefault="00A538E1" w:rsidP="00100561">
      <w:pPr>
        <w:rPr>
          <w:b/>
          <w:sz w:val="28"/>
        </w:rPr>
      </w:pPr>
    </w:p>
    <w:p w:rsidR="00A538E1" w:rsidRDefault="00A538E1" w:rsidP="00A538E1">
      <w:pPr>
        <w:jc w:val="center"/>
        <w:rPr>
          <w:b/>
          <w:sz w:val="28"/>
        </w:rPr>
      </w:pPr>
      <w:r>
        <w:rPr>
          <w:noProof/>
        </w:rPr>
        <w:drawing>
          <wp:inline distT="0" distB="0" distL="0" distR="0">
            <wp:extent cx="5743575" cy="2943225"/>
            <wp:effectExtent l="0" t="0" r="9525" b="9525"/>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538E1" w:rsidRDefault="00A538E1" w:rsidP="00A538E1">
      <w:pPr>
        <w:jc w:val="center"/>
        <w:rPr>
          <w:b/>
          <w:sz w:val="28"/>
        </w:rPr>
      </w:pPr>
      <w:r>
        <w:rPr>
          <w:b/>
          <w:sz w:val="28"/>
        </w:rPr>
        <w:t>Graph 2</w:t>
      </w:r>
      <w:r w:rsidR="00D30B32">
        <w:rPr>
          <w:b/>
          <w:sz w:val="28"/>
        </w:rPr>
        <w:t>6</w:t>
      </w:r>
    </w:p>
    <w:p w:rsidR="00D46FB0" w:rsidRDefault="00D46FB0" w:rsidP="00A538E1">
      <w:pPr>
        <w:jc w:val="center"/>
        <w:rPr>
          <w:b/>
          <w:sz w:val="28"/>
        </w:rPr>
      </w:pPr>
    </w:p>
    <w:p w:rsidR="00D46FB0" w:rsidRDefault="00D46FB0" w:rsidP="00A538E1">
      <w:pPr>
        <w:jc w:val="center"/>
        <w:rPr>
          <w:b/>
          <w:sz w:val="28"/>
        </w:rPr>
      </w:pPr>
    </w:p>
    <w:p w:rsidR="007E12AA" w:rsidRDefault="007E12AA" w:rsidP="00A538E1">
      <w:pPr>
        <w:jc w:val="center"/>
        <w:rPr>
          <w:b/>
          <w:sz w:val="28"/>
        </w:rPr>
      </w:pPr>
    </w:p>
    <w:p w:rsidR="007E12AA" w:rsidRDefault="007E12AA" w:rsidP="00A538E1">
      <w:pPr>
        <w:jc w:val="center"/>
        <w:rPr>
          <w:b/>
          <w:sz w:val="28"/>
        </w:rPr>
      </w:pPr>
      <w:r>
        <w:rPr>
          <w:noProof/>
        </w:rPr>
        <w:drawing>
          <wp:inline distT="0" distB="0" distL="0" distR="0">
            <wp:extent cx="5743575" cy="2943225"/>
            <wp:effectExtent l="0" t="0" r="9525" b="952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E12AA" w:rsidRDefault="007E12AA" w:rsidP="007E12AA">
      <w:pPr>
        <w:jc w:val="center"/>
        <w:rPr>
          <w:b/>
          <w:sz w:val="28"/>
        </w:rPr>
      </w:pPr>
      <w:r>
        <w:rPr>
          <w:b/>
          <w:sz w:val="28"/>
        </w:rPr>
        <w:t xml:space="preserve">Graph </w:t>
      </w:r>
      <w:r w:rsidR="00D30B32">
        <w:rPr>
          <w:b/>
          <w:sz w:val="28"/>
        </w:rPr>
        <w:t>27</w:t>
      </w:r>
    </w:p>
    <w:p w:rsidR="000D7DD6" w:rsidRPr="000D7DD6" w:rsidRDefault="000D7DD6" w:rsidP="000D7DD6">
      <w:pPr>
        <w:jc w:val="center"/>
        <w:rPr>
          <w:b/>
          <w:sz w:val="28"/>
        </w:rPr>
      </w:pPr>
    </w:p>
    <w:sectPr w:rsidR="000D7DD6" w:rsidRPr="000D7DD6" w:rsidSect="007B0828">
      <w:footerReference w:type="default" r:id="rId36"/>
      <w:pgSz w:w="11907" w:h="16839" w:code="9"/>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D59" w:rsidRDefault="00D10D59" w:rsidP="00800FC5">
      <w:pPr>
        <w:spacing w:after="0" w:line="240" w:lineRule="auto"/>
      </w:pPr>
      <w:r>
        <w:separator/>
      </w:r>
    </w:p>
  </w:endnote>
  <w:endnote w:type="continuationSeparator" w:id="0">
    <w:p w:rsidR="00D10D59" w:rsidRDefault="00D10D59" w:rsidP="0080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93560"/>
      <w:docPartObj>
        <w:docPartGallery w:val="Page Numbers (Bottom of Page)"/>
        <w:docPartUnique/>
      </w:docPartObj>
    </w:sdtPr>
    <w:sdtEndPr/>
    <w:sdtContent>
      <w:sdt>
        <w:sdtPr>
          <w:id w:val="-1669238322"/>
          <w:docPartObj>
            <w:docPartGallery w:val="Page Numbers (Top of Page)"/>
            <w:docPartUnique/>
          </w:docPartObj>
        </w:sdtPr>
        <w:sdtEndPr/>
        <w:sdtContent>
          <w:p w:rsidR="0041317C" w:rsidRDefault="004131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553A3">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53A3">
              <w:rPr>
                <w:b/>
                <w:bCs/>
                <w:noProof/>
              </w:rPr>
              <w:t>21</w:t>
            </w:r>
            <w:r>
              <w:rPr>
                <w:b/>
                <w:bCs/>
                <w:sz w:val="24"/>
                <w:szCs w:val="24"/>
              </w:rPr>
              <w:fldChar w:fldCharType="end"/>
            </w:r>
          </w:p>
        </w:sdtContent>
      </w:sdt>
    </w:sdtContent>
  </w:sdt>
  <w:p w:rsidR="0041317C" w:rsidRDefault="00413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D59" w:rsidRDefault="00D10D59" w:rsidP="00800FC5">
      <w:pPr>
        <w:spacing w:after="0" w:line="240" w:lineRule="auto"/>
      </w:pPr>
      <w:r>
        <w:separator/>
      </w:r>
    </w:p>
  </w:footnote>
  <w:footnote w:type="continuationSeparator" w:id="0">
    <w:p w:rsidR="00D10D59" w:rsidRDefault="00D10D59" w:rsidP="00800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E43"/>
    <w:multiLevelType w:val="hybridMultilevel"/>
    <w:tmpl w:val="D7D0F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81108"/>
    <w:multiLevelType w:val="hybridMultilevel"/>
    <w:tmpl w:val="E5CC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A6383"/>
    <w:multiLevelType w:val="hybridMultilevel"/>
    <w:tmpl w:val="E5CC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B1"/>
    <w:rsid w:val="00013F77"/>
    <w:rsid w:val="00036A6A"/>
    <w:rsid w:val="00041C5B"/>
    <w:rsid w:val="000768D2"/>
    <w:rsid w:val="00077AD5"/>
    <w:rsid w:val="000C29E4"/>
    <w:rsid w:val="000D7DD6"/>
    <w:rsid w:val="00100561"/>
    <w:rsid w:val="0011095F"/>
    <w:rsid w:val="00124FBA"/>
    <w:rsid w:val="0012543E"/>
    <w:rsid w:val="00134D25"/>
    <w:rsid w:val="00152285"/>
    <w:rsid w:val="00154B75"/>
    <w:rsid w:val="00171892"/>
    <w:rsid w:val="001C4639"/>
    <w:rsid w:val="001E5DD0"/>
    <w:rsid w:val="001F63FC"/>
    <w:rsid w:val="00203A4D"/>
    <w:rsid w:val="0022573C"/>
    <w:rsid w:val="00245D3D"/>
    <w:rsid w:val="002706C0"/>
    <w:rsid w:val="002820BA"/>
    <w:rsid w:val="00293321"/>
    <w:rsid w:val="00296DC6"/>
    <w:rsid w:val="002D1C8B"/>
    <w:rsid w:val="002D235B"/>
    <w:rsid w:val="00335087"/>
    <w:rsid w:val="003432CB"/>
    <w:rsid w:val="0038247B"/>
    <w:rsid w:val="003846CB"/>
    <w:rsid w:val="003930FF"/>
    <w:rsid w:val="00396C72"/>
    <w:rsid w:val="003D729D"/>
    <w:rsid w:val="003F3109"/>
    <w:rsid w:val="00401D59"/>
    <w:rsid w:val="00402FFD"/>
    <w:rsid w:val="0041317C"/>
    <w:rsid w:val="004212A1"/>
    <w:rsid w:val="00465B60"/>
    <w:rsid w:val="0048073F"/>
    <w:rsid w:val="004820A3"/>
    <w:rsid w:val="004915DE"/>
    <w:rsid w:val="004B13E3"/>
    <w:rsid w:val="004B6E93"/>
    <w:rsid w:val="00504A9E"/>
    <w:rsid w:val="0051408D"/>
    <w:rsid w:val="00531B10"/>
    <w:rsid w:val="00531BCD"/>
    <w:rsid w:val="00537F25"/>
    <w:rsid w:val="00550E5F"/>
    <w:rsid w:val="0055260E"/>
    <w:rsid w:val="0055693B"/>
    <w:rsid w:val="005716D5"/>
    <w:rsid w:val="00583F50"/>
    <w:rsid w:val="0059111C"/>
    <w:rsid w:val="005F2ABC"/>
    <w:rsid w:val="006137BE"/>
    <w:rsid w:val="00622AA3"/>
    <w:rsid w:val="00633B9B"/>
    <w:rsid w:val="006646B7"/>
    <w:rsid w:val="006A2CD2"/>
    <w:rsid w:val="006C3CBB"/>
    <w:rsid w:val="006D2226"/>
    <w:rsid w:val="006D31A1"/>
    <w:rsid w:val="00710D36"/>
    <w:rsid w:val="007155BE"/>
    <w:rsid w:val="00721FDA"/>
    <w:rsid w:val="00750658"/>
    <w:rsid w:val="007861A5"/>
    <w:rsid w:val="007A0B19"/>
    <w:rsid w:val="007B0828"/>
    <w:rsid w:val="007D4F94"/>
    <w:rsid w:val="007E12AA"/>
    <w:rsid w:val="00800FC5"/>
    <w:rsid w:val="00833D12"/>
    <w:rsid w:val="0084530F"/>
    <w:rsid w:val="00850E43"/>
    <w:rsid w:val="00854946"/>
    <w:rsid w:val="00857A84"/>
    <w:rsid w:val="0088689D"/>
    <w:rsid w:val="008A2D50"/>
    <w:rsid w:val="008A4D9B"/>
    <w:rsid w:val="008C0750"/>
    <w:rsid w:val="008E77DD"/>
    <w:rsid w:val="008F3751"/>
    <w:rsid w:val="008F786D"/>
    <w:rsid w:val="00940267"/>
    <w:rsid w:val="009532B7"/>
    <w:rsid w:val="00961320"/>
    <w:rsid w:val="0097360A"/>
    <w:rsid w:val="00986AAA"/>
    <w:rsid w:val="00986E26"/>
    <w:rsid w:val="009A0B97"/>
    <w:rsid w:val="009D57F5"/>
    <w:rsid w:val="009E056F"/>
    <w:rsid w:val="009F79EE"/>
    <w:rsid w:val="00A3036C"/>
    <w:rsid w:val="00A403BE"/>
    <w:rsid w:val="00A44793"/>
    <w:rsid w:val="00A5193E"/>
    <w:rsid w:val="00A538E1"/>
    <w:rsid w:val="00A76529"/>
    <w:rsid w:val="00A829FD"/>
    <w:rsid w:val="00A82DE4"/>
    <w:rsid w:val="00AC3DBC"/>
    <w:rsid w:val="00AF0BDF"/>
    <w:rsid w:val="00AF4614"/>
    <w:rsid w:val="00B10021"/>
    <w:rsid w:val="00B36698"/>
    <w:rsid w:val="00B45A51"/>
    <w:rsid w:val="00B6145A"/>
    <w:rsid w:val="00B633E0"/>
    <w:rsid w:val="00BC4B4F"/>
    <w:rsid w:val="00BD2FC2"/>
    <w:rsid w:val="00BE0024"/>
    <w:rsid w:val="00C17B58"/>
    <w:rsid w:val="00C6080A"/>
    <w:rsid w:val="00C7555F"/>
    <w:rsid w:val="00CA4F17"/>
    <w:rsid w:val="00CE38E3"/>
    <w:rsid w:val="00D10D59"/>
    <w:rsid w:val="00D10FB1"/>
    <w:rsid w:val="00D30B32"/>
    <w:rsid w:val="00D46FB0"/>
    <w:rsid w:val="00D64458"/>
    <w:rsid w:val="00D67775"/>
    <w:rsid w:val="00D72E14"/>
    <w:rsid w:val="00D95C0F"/>
    <w:rsid w:val="00DE18CD"/>
    <w:rsid w:val="00E43E90"/>
    <w:rsid w:val="00E553A3"/>
    <w:rsid w:val="00ED2D04"/>
    <w:rsid w:val="00EE5E67"/>
    <w:rsid w:val="00F070A5"/>
    <w:rsid w:val="00F301A6"/>
    <w:rsid w:val="00F46977"/>
    <w:rsid w:val="00F507AE"/>
    <w:rsid w:val="00F52C2C"/>
    <w:rsid w:val="00F746C3"/>
    <w:rsid w:val="00F82B61"/>
    <w:rsid w:val="00F92DCA"/>
    <w:rsid w:val="00F9542E"/>
    <w:rsid w:val="00FC13CD"/>
    <w:rsid w:val="00FC6B52"/>
    <w:rsid w:val="00FF18FD"/>
    <w:rsid w:val="00FF6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0FB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10FB1"/>
    <w:rPr>
      <w:rFonts w:eastAsiaTheme="minorEastAsia"/>
      <w:lang w:eastAsia="ja-JP"/>
    </w:rPr>
  </w:style>
  <w:style w:type="paragraph" w:styleId="BalloonText">
    <w:name w:val="Balloon Text"/>
    <w:basedOn w:val="Normal"/>
    <w:link w:val="BalloonTextChar"/>
    <w:uiPriority w:val="99"/>
    <w:semiHidden/>
    <w:unhideWhenUsed/>
    <w:rsid w:val="00D10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B1"/>
    <w:rPr>
      <w:rFonts w:ascii="Tahoma" w:hAnsi="Tahoma" w:cs="Tahoma"/>
      <w:sz w:val="16"/>
      <w:szCs w:val="16"/>
    </w:rPr>
  </w:style>
  <w:style w:type="paragraph" w:styleId="ListParagraph">
    <w:name w:val="List Paragraph"/>
    <w:basedOn w:val="Normal"/>
    <w:uiPriority w:val="34"/>
    <w:qFormat/>
    <w:rsid w:val="008F3751"/>
    <w:pPr>
      <w:ind w:left="720"/>
      <w:contextualSpacing/>
    </w:pPr>
  </w:style>
  <w:style w:type="paragraph" w:styleId="Header">
    <w:name w:val="header"/>
    <w:basedOn w:val="Normal"/>
    <w:link w:val="HeaderChar"/>
    <w:uiPriority w:val="99"/>
    <w:unhideWhenUsed/>
    <w:rsid w:val="0080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FC5"/>
  </w:style>
  <w:style w:type="paragraph" w:styleId="Footer">
    <w:name w:val="footer"/>
    <w:basedOn w:val="Normal"/>
    <w:link w:val="FooterChar"/>
    <w:uiPriority w:val="99"/>
    <w:unhideWhenUsed/>
    <w:rsid w:val="0080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0FB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10FB1"/>
    <w:rPr>
      <w:rFonts w:eastAsiaTheme="minorEastAsia"/>
      <w:lang w:eastAsia="ja-JP"/>
    </w:rPr>
  </w:style>
  <w:style w:type="paragraph" w:styleId="BalloonText">
    <w:name w:val="Balloon Text"/>
    <w:basedOn w:val="Normal"/>
    <w:link w:val="BalloonTextChar"/>
    <w:uiPriority w:val="99"/>
    <w:semiHidden/>
    <w:unhideWhenUsed/>
    <w:rsid w:val="00D10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B1"/>
    <w:rPr>
      <w:rFonts w:ascii="Tahoma" w:hAnsi="Tahoma" w:cs="Tahoma"/>
      <w:sz w:val="16"/>
      <w:szCs w:val="16"/>
    </w:rPr>
  </w:style>
  <w:style w:type="paragraph" w:styleId="ListParagraph">
    <w:name w:val="List Paragraph"/>
    <w:basedOn w:val="Normal"/>
    <w:uiPriority w:val="34"/>
    <w:qFormat/>
    <w:rsid w:val="008F3751"/>
    <w:pPr>
      <w:ind w:left="720"/>
      <w:contextualSpacing/>
    </w:pPr>
  </w:style>
  <w:style w:type="paragraph" w:styleId="Header">
    <w:name w:val="header"/>
    <w:basedOn w:val="Normal"/>
    <w:link w:val="HeaderChar"/>
    <w:uiPriority w:val="99"/>
    <w:unhideWhenUsed/>
    <w:rsid w:val="0080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FC5"/>
  </w:style>
  <w:style w:type="paragraph" w:styleId="Footer">
    <w:name w:val="footer"/>
    <w:basedOn w:val="Normal"/>
    <w:link w:val="FooterChar"/>
    <w:uiPriority w:val="99"/>
    <w:unhideWhenUsed/>
    <w:rsid w:val="0080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1850">
      <w:bodyDiv w:val="1"/>
      <w:marLeft w:val="0"/>
      <w:marRight w:val="0"/>
      <w:marTop w:val="0"/>
      <w:marBottom w:val="0"/>
      <w:divBdr>
        <w:top w:val="none" w:sz="0" w:space="0" w:color="auto"/>
        <w:left w:val="none" w:sz="0" w:space="0" w:color="auto"/>
        <w:bottom w:val="none" w:sz="0" w:space="0" w:color="auto"/>
        <w:right w:val="none" w:sz="0" w:space="0" w:color="auto"/>
      </w:divBdr>
    </w:div>
    <w:div w:id="1038701799">
      <w:bodyDiv w:val="1"/>
      <w:marLeft w:val="0"/>
      <w:marRight w:val="0"/>
      <w:marTop w:val="0"/>
      <w:marBottom w:val="0"/>
      <w:divBdr>
        <w:top w:val="none" w:sz="0" w:space="0" w:color="auto"/>
        <w:left w:val="none" w:sz="0" w:space="0" w:color="auto"/>
        <w:bottom w:val="none" w:sz="0" w:space="0" w:color="auto"/>
        <w:right w:val="none" w:sz="0" w:space="0" w:color="auto"/>
      </w:divBdr>
    </w:div>
    <w:div w:id="204833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ll%20Files%20-%2013.02.11\NFHS%20IV\NFHS%20IV%20comparison%20with%20NFHSIII.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All%20Files%20-%2013.02.11\NFHS%20IV\NFHS%20IV%20comparison%20with%20NFHSIII.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All%20Files%20-%2013.02.11\NFHS%20IV\NFHS%20IV%20comparison%20with%20NFHSIII.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All%20Files%20-%2013.02.11\NFHS%20IV\NFHS%20IV%20comparison%20with%20NFHSIII.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All%20Files%20-%2013.02.11\NFHS%20IV\NFHS%20IV%20comparison%20with%20NFHSIII.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D:\All%20Files%20-%2013.02.11\NFHS%20IV\NFHS%20IV%20comparison%20with%20NFHSIII.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D:\All%20Files%20-%2013.02.11\NFHS%20IV\NFHS%20IV%20comparison%20with%20NFHSIII.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D:\All%20Files%20-%2013.02.11\NFHS%20IV\NFHS%20IV%20comparison%20with%20NFHSIII.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D:\All%20Files%20-%2013.02.11\NFHS%20IV\NFHS%20IV%20comparison%20with%20NFHSIII.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D:\All%20Files%20-%2013.02.11\NFHS%20IV\NFHS%20IV%20comparison%20with%20NFHSIII.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D:\All%20Files%20-%2013.02.11\NFHS%20IV\NFHS%20IV%20comparison%20with%20NFHSIII.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All%20Files%20-%2013.02.11\NFHS%20IV\NFHS%20IV%20comparison%20with%20NFHSIII.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D:\All%20Files%20-%2013.02.11\NFHS%20IV\NFHS%20IV%20comparison%20with%20NFHSIII.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D:\All%20Files%20-%2013.02.11\NFHS%20IV\NFHS%20IV%20comparison%20with%20NFHSIII.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D:\All%20Files%20-%2013.02.11\NFHS%20IV\NFHS%20IV%20comparison%20with%20NFHSIII.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All%20Files%20-%2013.02.11\NFHS%20IV\NFHS%20IV%20comparison%20with%20NFHSIII.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All%20Files%20-%2013.02.11\NFHS%20IV\NFHS%20IV%20comparison%20with%20NFHSIII.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All%20Files%20-%2013.02.11\NFHS%20IV\NFHS%20IV%20comparison%20with%20NFHSIII.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All%20Files%20-%2013.02.11\NFHS%20IV\NFHS%20IV%20comparison%20with%20NFHSIII.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All%20Files%20-%2013.02.11\NFHS%20IV\NFHS%20IV%20comparison%20with%20NFHSIII.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All%20Files%20-%2013.02.11\NFHS%20IV\NFHS%20IV%20comparison%20with%20NFHSII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600"/>
          </a:pPr>
          <a:endParaRPr lang="en-US"/>
        </a:p>
      </c:txPr>
    </c:title>
    <c:autoTitleDeleted val="0"/>
    <c:plotArea>
      <c:layout/>
      <c:barChart>
        <c:barDir val="col"/>
        <c:grouping val="clustered"/>
        <c:varyColors val="0"/>
        <c:ser>
          <c:idx val="0"/>
          <c:order val="0"/>
          <c:tx>
            <c:strRef>
              <c:f>'Analysis of non HF states1 (2)'!$N$3</c:f>
              <c:strCache>
                <c:ptCount val="1"/>
                <c:pt idx="0">
                  <c:v>Household with any usual member covered by health scheme or Health Insurance ( %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Pt>
            <c:idx val="7"/>
            <c:invertIfNegative val="0"/>
            <c:bubble3D val="0"/>
            <c:spPr>
              <a:solidFill>
                <a:srgbClr val="00B0F0"/>
              </a:solidFill>
            </c:spPr>
          </c:dPt>
          <c:dPt>
            <c:idx val="9"/>
            <c:invertIfNegative val="0"/>
            <c:bubble3D val="0"/>
            <c:spPr>
              <a:solidFill>
                <a:srgbClr val="00B0F0"/>
              </a:solidFill>
            </c:spPr>
          </c:dPt>
          <c:dPt>
            <c:idx val="11"/>
            <c:invertIfNegative val="0"/>
            <c:bubble3D val="0"/>
            <c:spPr>
              <a:solidFill>
                <a:srgbClr val="00B0F0"/>
              </a:solidFill>
            </c:spPr>
          </c:dPt>
          <c:dLbls>
            <c:dLbl>
              <c:idx val="11"/>
              <c:delete val="1"/>
            </c:dLbl>
            <c:txPr>
              <a:bodyPr/>
              <a:lstStyle/>
              <a:p>
                <a:pPr>
                  <a:defRPr b="1"/>
                </a:pPr>
                <a:endParaRPr lang="en-US"/>
              </a:p>
            </c:txPr>
            <c:showLegendKey val="0"/>
            <c:showVal val="1"/>
            <c:showCatName val="0"/>
            <c:showSerName val="0"/>
            <c:showPercent val="0"/>
            <c:showBubbleSize val="0"/>
            <c:showLeaderLines val="0"/>
          </c:dLbls>
          <c:cat>
            <c:multiLvlStrRef>
              <c:f>'Analysis of non HF states1 (2)'!$O$1:$AB$2</c:f>
              <c:multiLvlStrCache>
                <c:ptCount val="14"/>
                <c:lvl>
                  <c:pt idx="0">
                    <c:v>NFHS IV (2015-16)</c:v>
                  </c:pt>
                  <c:pt idx="1">
                    <c:v>NFHS III(2005-06)</c:v>
                  </c:pt>
                  <c:pt idx="2">
                    <c:v>NFHS IV (2015-16)</c:v>
                  </c:pt>
                  <c:pt idx="3">
                    <c:v>NFHS III(2005-06)</c:v>
                  </c:pt>
                  <c:pt idx="4">
                    <c:v>NFHS IV (2015-16)</c:v>
                  </c:pt>
                  <c:pt idx="5">
                    <c:v>NFHS III(2005-06)</c:v>
                  </c:pt>
                  <c:pt idx="6">
                    <c:v>NFHS IV (2015-16)</c:v>
                  </c:pt>
                  <c:pt idx="7">
                    <c:v>NFHS III(2005-06)</c:v>
                  </c:pt>
                  <c:pt idx="8">
                    <c:v>NFHS IV (2015-16)</c:v>
                  </c:pt>
                  <c:pt idx="9">
                    <c:v>NFHS III(2005-06)</c:v>
                  </c:pt>
                  <c:pt idx="10">
                    <c:v>NFHS IV (2015-16)</c:v>
                  </c:pt>
                  <c:pt idx="11">
                    <c:v>NFHS III(2005-06)</c:v>
                  </c:pt>
                  <c:pt idx="12">
                    <c:v>NFHS IV (2015-16)</c:v>
                  </c:pt>
                  <c:pt idx="13">
                    <c:v>NFHS III(2005-06)</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(2)'!$O$3:$AB$3</c:f>
              <c:numCache>
                <c:formatCode>General</c:formatCode>
                <c:ptCount val="14"/>
                <c:pt idx="0" formatCode="_(* #,##0.0_);_(* \(#,##0.0\);_(* &quot;-&quot;??_);_(@_)">
                  <c:v>74.599999999999994</c:v>
                </c:pt>
                <c:pt idx="2" formatCode="_(* #,##0.0_);_(* \(#,##0.0\);_(* &quot;-&quot;??_);_(@_)">
                  <c:v>12.2</c:v>
                </c:pt>
                <c:pt idx="3" formatCode="_(* #,##0.0_);_(* \(#,##0.0\);_(* &quot;-&quot;??_);_(@_)">
                  <c:v>6.7</c:v>
                </c:pt>
                <c:pt idx="4" formatCode="_(* #,##0.0_);_(* \(#,##0.0\);_(* &quot;-&quot;??_);_(@_)">
                  <c:v>28.1</c:v>
                </c:pt>
                <c:pt idx="5" formatCode="_(* #,##0.0_);_(* \(#,##0.0\);_(* &quot;-&quot;??_);_(@_)">
                  <c:v>10.3</c:v>
                </c:pt>
                <c:pt idx="6" formatCode="0.0">
                  <c:v>15</c:v>
                </c:pt>
                <c:pt idx="7" formatCode="0.0">
                  <c:v>7</c:v>
                </c:pt>
                <c:pt idx="8" formatCode="0.0">
                  <c:v>64.099999999999994</c:v>
                </c:pt>
                <c:pt idx="9" formatCode="0.0">
                  <c:v>4</c:v>
                </c:pt>
                <c:pt idx="10" formatCode="0.0">
                  <c:v>66.400000000000006</c:v>
                </c:pt>
                <c:pt idx="11" formatCode="0.0">
                  <c:v>0</c:v>
                </c:pt>
                <c:pt idx="12" formatCode="0.0">
                  <c:v>33.4</c:v>
                </c:pt>
                <c:pt idx="13" formatCode="0.0">
                  <c:v>6</c:v>
                </c:pt>
              </c:numCache>
            </c:numRef>
          </c:val>
        </c:ser>
        <c:dLbls>
          <c:showLegendKey val="0"/>
          <c:showVal val="0"/>
          <c:showCatName val="0"/>
          <c:showSerName val="0"/>
          <c:showPercent val="0"/>
          <c:showBubbleSize val="0"/>
        </c:dLbls>
        <c:gapWidth val="150"/>
        <c:axId val="129459328"/>
        <c:axId val="129460864"/>
      </c:barChart>
      <c:catAx>
        <c:axId val="129459328"/>
        <c:scaling>
          <c:orientation val="minMax"/>
        </c:scaling>
        <c:delete val="0"/>
        <c:axPos val="b"/>
        <c:majorTickMark val="out"/>
        <c:minorTickMark val="none"/>
        <c:tickLblPos val="nextTo"/>
        <c:txPr>
          <a:bodyPr/>
          <a:lstStyle/>
          <a:p>
            <a:pPr>
              <a:defRPr b="1"/>
            </a:pPr>
            <a:endParaRPr lang="en-US"/>
          </a:p>
        </c:txPr>
        <c:crossAx val="129460864"/>
        <c:crosses val="autoZero"/>
        <c:auto val="1"/>
        <c:lblAlgn val="ctr"/>
        <c:lblOffset val="100"/>
        <c:noMultiLvlLbl val="0"/>
      </c:catAx>
      <c:valAx>
        <c:axId val="129460864"/>
        <c:scaling>
          <c:orientation val="minMax"/>
        </c:scaling>
        <c:delete val="0"/>
        <c:axPos val="l"/>
        <c:numFmt formatCode="_(* #,##0.0_);_(* \(#,##0.0\);_(* &quot;-&quot;??_);_(@_)" sourceLinked="1"/>
        <c:majorTickMark val="out"/>
        <c:minorTickMark val="none"/>
        <c:tickLblPos val="nextTo"/>
        <c:crossAx val="129459328"/>
        <c:crosses val="autoZero"/>
        <c:crossBetween val="between"/>
      </c:valAx>
    </c:plotArea>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'Analysis of non HF states1 (2)'!$N$35</c:f>
              <c:strCache>
                <c:ptCount val="1"/>
                <c:pt idx="0">
                  <c:v> Institutional births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Pt>
            <c:idx val="7"/>
            <c:invertIfNegative val="0"/>
            <c:bubble3D val="0"/>
            <c:spPr>
              <a:solidFill>
                <a:srgbClr val="00B0F0"/>
              </a:solidFill>
            </c:spPr>
          </c:dPt>
          <c:dPt>
            <c:idx val="9"/>
            <c:invertIfNegative val="0"/>
            <c:bubble3D val="0"/>
            <c:spPr>
              <a:solidFill>
                <a:srgbClr val="00B0F0"/>
              </a:solidFill>
            </c:spPr>
          </c:dPt>
          <c:dPt>
            <c:idx val="11"/>
            <c:invertIfNegative val="0"/>
            <c:bubble3D val="0"/>
            <c:spPr>
              <a:solidFill>
                <a:srgbClr val="00B0F0"/>
              </a:solidFill>
            </c:spPr>
          </c:dPt>
          <c:dPt>
            <c:idx val="13"/>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(2)'!$O$33:$AB$34</c:f>
              <c:multiLvlStrCache>
                <c:ptCount val="14"/>
                <c:lvl>
                  <c:pt idx="0">
                    <c:v>NFHS IV (2015-16)</c:v>
                  </c:pt>
                  <c:pt idx="1">
                    <c:v>NFHS III(2005-06)</c:v>
                  </c:pt>
                  <c:pt idx="2">
                    <c:v>NFHS IV (2015-16)</c:v>
                  </c:pt>
                  <c:pt idx="3">
                    <c:v>NFHS III(2005-06)</c:v>
                  </c:pt>
                  <c:pt idx="4">
                    <c:v>NFHS IV (2015-16)</c:v>
                  </c:pt>
                  <c:pt idx="5">
                    <c:v>NFHS III(2005-06)</c:v>
                  </c:pt>
                  <c:pt idx="6">
                    <c:v>NFHS IV (2015-16)</c:v>
                  </c:pt>
                  <c:pt idx="7">
                    <c:v>NFHS III(2005-06)</c:v>
                  </c:pt>
                  <c:pt idx="8">
                    <c:v>NFHS IV (2015-16)</c:v>
                  </c:pt>
                  <c:pt idx="9">
                    <c:v>NFHS III(2005-06)</c:v>
                  </c:pt>
                  <c:pt idx="10">
                    <c:v>NFHS IV (2015-16)</c:v>
                  </c:pt>
                  <c:pt idx="11">
                    <c:v>NFHS III(2005-06)</c:v>
                  </c:pt>
                  <c:pt idx="12">
                    <c:v>NFHS IV (2015-16)</c:v>
                  </c:pt>
                  <c:pt idx="13">
                    <c:v>NFHS III(2005-06)</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(2)'!$O$35:$AB$35</c:f>
              <c:numCache>
                <c:formatCode>General</c:formatCode>
                <c:ptCount val="14"/>
                <c:pt idx="0" formatCode="_(* #,##0.0_);_(* \(#,##0.0\);_(* &quot;-&quot;??_);_(@_)">
                  <c:v>91.6</c:v>
                </c:pt>
                <c:pt idx="2" formatCode="_(* #,##0.0_);_(* \(#,##0.0\);_(* &quot;-&quot;??_);_(@_)">
                  <c:v>80.5</c:v>
                </c:pt>
                <c:pt idx="3" formatCode="_(* #,##0.0_);_(* \(#,##0.0\);_(* &quot;-&quot;??_);_(@_)">
                  <c:v>35.700000000000003</c:v>
                </c:pt>
                <c:pt idx="4" formatCode="_(* #,##0.0_);_(* \(#,##0.0\);_(* &quot;-&quot;??_);_(@_)">
                  <c:v>94.3</c:v>
                </c:pt>
                <c:pt idx="5" formatCode="_(* #,##0.0_);_(* \(#,##0.0\);_(* &quot;-&quot;??_);_(@_)">
                  <c:v>64.7</c:v>
                </c:pt>
                <c:pt idx="6">
                  <c:v>90.3</c:v>
                </c:pt>
                <c:pt idx="7">
                  <c:v>64.599999999999994</c:v>
                </c:pt>
                <c:pt idx="8" formatCode="_(* #,##0.0_);_(* \(#,##0.0\);_(* &quot;-&quot;??_);_(@_)">
                  <c:v>99</c:v>
                </c:pt>
                <c:pt idx="9" formatCode="_(* #,##0.0_);_(* \(#,##0.0\);_(* &quot;-&quot;??_);_(@_)">
                  <c:v>87.8</c:v>
                </c:pt>
                <c:pt idx="10" formatCode="_(* #,##0.0_);_(* \(#,##0.0\);_(* &quot;-&quot;??_);_(@_)">
                  <c:v>91.5</c:v>
                </c:pt>
                <c:pt idx="12" formatCode="_(* #,##0.0_);_(* \(#,##0.0\);_(* &quot;-&quot;??_);_(@_)">
                  <c:v>75.2</c:v>
                </c:pt>
                <c:pt idx="13" formatCode="_(* #,##0.0_);_(* \(#,##0.0\);_(* &quot;-&quot;??_);_(@_)">
                  <c:v>42</c:v>
                </c:pt>
              </c:numCache>
            </c:numRef>
          </c:val>
        </c:ser>
        <c:dLbls>
          <c:showLegendKey val="0"/>
          <c:showVal val="0"/>
          <c:showCatName val="0"/>
          <c:showSerName val="0"/>
          <c:showPercent val="0"/>
          <c:showBubbleSize val="0"/>
        </c:dLbls>
        <c:gapWidth val="150"/>
        <c:axId val="130365312"/>
        <c:axId val="130366848"/>
      </c:barChart>
      <c:catAx>
        <c:axId val="130365312"/>
        <c:scaling>
          <c:orientation val="minMax"/>
        </c:scaling>
        <c:delete val="0"/>
        <c:axPos val="b"/>
        <c:majorTickMark val="out"/>
        <c:minorTickMark val="none"/>
        <c:tickLblPos val="nextTo"/>
        <c:txPr>
          <a:bodyPr/>
          <a:lstStyle/>
          <a:p>
            <a:pPr>
              <a:defRPr b="1"/>
            </a:pPr>
            <a:endParaRPr lang="en-US"/>
          </a:p>
        </c:txPr>
        <c:crossAx val="130366848"/>
        <c:crosses val="autoZero"/>
        <c:auto val="1"/>
        <c:lblAlgn val="ctr"/>
        <c:lblOffset val="100"/>
        <c:noMultiLvlLbl val="0"/>
      </c:catAx>
      <c:valAx>
        <c:axId val="130366848"/>
        <c:scaling>
          <c:orientation val="minMax"/>
        </c:scaling>
        <c:delete val="0"/>
        <c:axPos val="l"/>
        <c:numFmt formatCode="_(* #,##0.0_);_(* \(#,##0.0\);_(* &quot;-&quot;??_);_(@_)" sourceLinked="1"/>
        <c:majorTickMark val="out"/>
        <c:minorTickMark val="none"/>
        <c:tickLblPos val="nextTo"/>
        <c:crossAx val="130365312"/>
        <c:crosses val="autoZero"/>
        <c:crossBetween val="between"/>
      </c:valAx>
    </c:plotArea>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'Analysis of non HF states1 (2)'!$N$38</c:f>
              <c:strCache>
                <c:ptCount val="1"/>
                <c:pt idx="0">
                  <c:v> Institutional births in public facility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Pt>
            <c:idx val="7"/>
            <c:invertIfNegative val="0"/>
            <c:bubble3D val="0"/>
            <c:spPr>
              <a:solidFill>
                <a:srgbClr val="00B0F0"/>
              </a:solidFill>
            </c:spPr>
          </c:dPt>
          <c:dPt>
            <c:idx val="9"/>
            <c:invertIfNegative val="0"/>
            <c:bubble3D val="0"/>
            <c:spPr>
              <a:solidFill>
                <a:srgbClr val="00B0F0"/>
              </a:solidFill>
            </c:spPr>
          </c:dPt>
          <c:dPt>
            <c:idx val="11"/>
            <c:invertIfNegative val="0"/>
            <c:bubble3D val="0"/>
            <c:spPr>
              <a:solidFill>
                <a:srgbClr val="00B0F0"/>
              </a:solidFill>
            </c:spPr>
          </c:dPt>
          <c:dPt>
            <c:idx val="13"/>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(2)'!$O$36:$AB$37</c:f>
              <c:multiLvlStrCache>
                <c:ptCount val="14"/>
                <c:lvl>
                  <c:pt idx="0">
                    <c:v>NFHS IV (2015-16)</c:v>
                  </c:pt>
                  <c:pt idx="1">
                    <c:v>NFHS III(2005-06)</c:v>
                  </c:pt>
                  <c:pt idx="2">
                    <c:v>NFHS IV (2015-16)</c:v>
                  </c:pt>
                  <c:pt idx="3">
                    <c:v>NFHS III(2005-06)</c:v>
                  </c:pt>
                  <c:pt idx="4">
                    <c:v>NFHS IV (2015-16)</c:v>
                  </c:pt>
                  <c:pt idx="5">
                    <c:v>NFHS III(2005-06)</c:v>
                  </c:pt>
                  <c:pt idx="6">
                    <c:v>NFHS IV (2015-16)</c:v>
                  </c:pt>
                  <c:pt idx="7">
                    <c:v>NFHS III(2005-06)</c:v>
                  </c:pt>
                  <c:pt idx="8">
                    <c:v>NFHS IV (2015-16)</c:v>
                  </c:pt>
                  <c:pt idx="9">
                    <c:v>NFHS III(2005-06)</c:v>
                  </c:pt>
                  <c:pt idx="10">
                    <c:v>NFHS IV (2015-16)</c:v>
                  </c:pt>
                  <c:pt idx="11">
                    <c:v>NFHS III(2005-06)</c:v>
                  </c:pt>
                  <c:pt idx="12">
                    <c:v>NFHS IV (2015-16)</c:v>
                  </c:pt>
                  <c:pt idx="13">
                    <c:v>NFHS III(2005-06)</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(2)'!$O$38:$AB$38</c:f>
              <c:numCache>
                <c:formatCode>General</c:formatCode>
                <c:ptCount val="14"/>
                <c:pt idx="0" formatCode="_(* #,##0.0_);_(* \(#,##0.0\);_(* &quot;-&quot;??_);_(@_)">
                  <c:v>38.300000000000004</c:v>
                </c:pt>
                <c:pt idx="2" formatCode="_(* #,##0.0_);_(* \(#,##0.0\);_(* &quot;-&quot;??_);_(@_)">
                  <c:v>52</c:v>
                </c:pt>
                <c:pt idx="3" formatCode="_(* #,##0.0_);_(* \(#,##0.0\);_(* &quot;-&quot;??_);_(@_)">
                  <c:v>13.9</c:v>
                </c:pt>
                <c:pt idx="4" formatCode="_(* #,##0.0_);_(* \(#,##0.0\);_(* &quot;-&quot;??_);_(@_)">
                  <c:v>61.4</c:v>
                </c:pt>
                <c:pt idx="5" formatCode="_(* #,##0.0_);_(* \(#,##0.0\);_(* &quot;-&quot;??_);_(@_)">
                  <c:v>34.800000000000004</c:v>
                </c:pt>
                <c:pt idx="6">
                  <c:v>48.9</c:v>
                </c:pt>
                <c:pt idx="7">
                  <c:v>26.5</c:v>
                </c:pt>
                <c:pt idx="8" formatCode="_(* #,##0.0_);_(* \(#,##0.0\);_(* &quot;-&quot;??_);_(@_)">
                  <c:v>66</c:v>
                </c:pt>
                <c:pt idx="9" formatCode="_(* #,##0.0_);_(* \(#,##0.0\);_(* &quot;-&quot;??_);_(@_)">
                  <c:v>48.1</c:v>
                </c:pt>
                <c:pt idx="10" formatCode="_(* #,##0.0_);_(* \(#,##0.0\);_(* &quot;-&quot;??_);_(@_)">
                  <c:v>31</c:v>
                </c:pt>
                <c:pt idx="12" formatCode="_(* #,##0.0_);_(* \(#,##0.0\);_(* &quot;-&quot;??_);_(@_)">
                  <c:v>56.6</c:v>
                </c:pt>
                <c:pt idx="13" formatCode="_(* #,##0.0_);_(* \(#,##0.0\);_(* &quot;-&quot;??_);_(@_)">
                  <c:v>31.8</c:v>
                </c:pt>
              </c:numCache>
            </c:numRef>
          </c:val>
        </c:ser>
        <c:dLbls>
          <c:showLegendKey val="0"/>
          <c:showVal val="0"/>
          <c:showCatName val="0"/>
          <c:showSerName val="0"/>
          <c:showPercent val="0"/>
          <c:showBubbleSize val="0"/>
        </c:dLbls>
        <c:gapWidth val="150"/>
        <c:axId val="130407040"/>
        <c:axId val="130412928"/>
      </c:barChart>
      <c:catAx>
        <c:axId val="130407040"/>
        <c:scaling>
          <c:orientation val="minMax"/>
        </c:scaling>
        <c:delete val="0"/>
        <c:axPos val="b"/>
        <c:majorTickMark val="out"/>
        <c:minorTickMark val="none"/>
        <c:tickLblPos val="nextTo"/>
        <c:txPr>
          <a:bodyPr/>
          <a:lstStyle/>
          <a:p>
            <a:pPr>
              <a:defRPr b="1"/>
            </a:pPr>
            <a:endParaRPr lang="en-US"/>
          </a:p>
        </c:txPr>
        <c:crossAx val="130412928"/>
        <c:crosses val="autoZero"/>
        <c:auto val="1"/>
        <c:lblAlgn val="ctr"/>
        <c:lblOffset val="100"/>
        <c:noMultiLvlLbl val="0"/>
      </c:catAx>
      <c:valAx>
        <c:axId val="130412928"/>
        <c:scaling>
          <c:orientation val="minMax"/>
        </c:scaling>
        <c:delete val="0"/>
        <c:axPos val="l"/>
        <c:numFmt formatCode="_(* #,##0.0_);_(* \(#,##0.0\);_(* &quot;-&quot;??_);_(@_)" sourceLinked="1"/>
        <c:majorTickMark val="out"/>
        <c:minorTickMark val="none"/>
        <c:tickLblPos val="nextTo"/>
        <c:crossAx val="130407040"/>
        <c:crosses val="autoZero"/>
        <c:crossBetween val="between"/>
        <c:majorUnit val="20"/>
      </c:valAx>
    </c:plotArea>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manualLayout>
          <c:layoutTarget val="inner"/>
          <c:xMode val="edge"/>
          <c:yMode val="edge"/>
          <c:x val="0.10525343536038097"/>
          <c:y val="0.23422877965497033"/>
          <c:w val="0.87042373434663955"/>
          <c:h val="0.2049010863933271"/>
        </c:manualLayout>
      </c:layout>
      <c:barChart>
        <c:barDir val="col"/>
        <c:grouping val="clustered"/>
        <c:varyColors val="0"/>
        <c:ser>
          <c:idx val="0"/>
          <c:order val="0"/>
          <c:tx>
            <c:strRef>
              <c:f>'Analysis of non HF states1 (2)'!$N$42</c:f>
              <c:strCache>
                <c:ptCount val="1"/>
                <c:pt idx="0">
                  <c:v> Births assisted by a doctor/nurse/LHV/ANM/other health personnel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Pt>
            <c:idx val="7"/>
            <c:invertIfNegative val="0"/>
            <c:bubble3D val="0"/>
            <c:spPr>
              <a:solidFill>
                <a:srgbClr val="00B0F0"/>
              </a:solidFill>
            </c:spPr>
          </c:dPt>
          <c:dPt>
            <c:idx val="9"/>
            <c:invertIfNegative val="0"/>
            <c:bubble3D val="0"/>
            <c:spPr>
              <a:solidFill>
                <a:srgbClr val="00B0F0"/>
              </a:solidFill>
            </c:spPr>
          </c:dPt>
          <c:dPt>
            <c:idx val="11"/>
            <c:invertIfNegative val="0"/>
            <c:bubble3D val="0"/>
            <c:spPr>
              <a:solidFill>
                <a:srgbClr val="00B0F0"/>
              </a:solidFill>
            </c:spPr>
          </c:dPt>
          <c:dPt>
            <c:idx val="13"/>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(2)'!$O$40:$AB$41</c:f>
              <c:multiLvlStrCache>
                <c:ptCount val="14"/>
                <c:lvl>
                  <c:pt idx="0">
                    <c:v>NFHS IV (2015-16)</c:v>
                  </c:pt>
                  <c:pt idx="1">
                    <c:v>NFHS III(2005-06)</c:v>
                  </c:pt>
                  <c:pt idx="2">
                    <c:v>NFHS IV (2015-16)</c:v>
                  </c:pt>
                  <c:pt idx="3">
                    <c:v>NFHS III(2005-06)</c:v>
                  </c:pt>
                  <c:pt idx="4">
                    <c:v>NFHS IV (2015-16)</c:v>
                  </c:pt>
                  <c:pt idx="5">
                    <c:v>NFHS III(2005-06)</c:v>
                  </c:pt>
                  <c:pt idx="6">
                    <c:v>NFHS IV (2015-16)</c:v>
                  </c:pt>
                  <c:pt idx="7">
                    <c:v>NFHS III(2005-06)</c:v>
                  </c:pt>
                  <c:pt idx="8">
                    <c:v>NFHS IV (2015-16)</c:v>
                  </c:pt>
                  <c:pt idx="9">
                    <c:v>NFHS III(2005-06)</c:v>
                  </c:pt>
                  <c:pt idx="10">
                    <c:v>NFHS IV (2015-16)</c:v>
                  </c:pt>
                  <c:pt idx="11">
                    <c:v>NFHS III(2005-06)</c:v>
                  </c:pt>
                  <c:pt idx="12">
                    <c:v>NFHS IV (2015-16)</c:v>
                  </c:pt>
                  <c:pt idx="13">
                    <c:v>NFHS III(2005-06)</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(2)'!$O$42:$AB$42</c:f>
              <c:numCache>
                <c:formatCode>General</c:formatCode>
                <c:ptCount val="14"/>
                <c:pt idx="0" formatCode="_(* #,##0.0_);_(* \(#,##0.0\);_(* &quot;-&quot;??_);_(@_)">
                  <c:v>92.2</c:v>
                </c:pt>
                <c:pt idx="2" formatCode="_(* #,##0.0_);_(* \(#,##0.0\);_(* &quot;-&quot;??_);_(@_)">
                  <c:v>84.7</c:v>
                </c:pt>
                <c:pt idx="3" formatCode="_(* #,##0.0_);_(* \(#,##0.0\);_(* &quot;-&quot;??_);_(@_)">
                  <c:v>48.9</c:v>
                </c:pt>
                <c:pt idx="4" formatCode="_(* #,##0.0_);_(* \(#,##0.0\);_(* &quot;-&quot;??_);_(@_)">
                  <c:v>93.9</c:v>
                </c:pt>
                <c:pt idx="5" formatCode="_(* #,##0.0_);_(* \(#,##0.0\);_(* &quot;-&quot;??_);_(@_)">
                  <c:v>69.7</c:v>
                </c:pt>
                <c:pt idx="6">
                  <c:v>91.1</c:v>
                </c:pt>
                <c:pt idx="7">
                  <c:v>68.8</c:v>
                </c:pt>
                <c:pt idx="8" formatCode="_(* #,##0.0_);_(* \(#,##0.0\);_(* &quot;-&quot;??_);_(@_)">
                  <c:v>99.3</c:v>
                </c:pt>
                <c:pt idx="9" formatCode="_(* #,##0.0_);_(* \(#,##0.0\);_(* &quot;-&quot;??_);_(@_)">
                  <c:v>90.6</c:v>
                </c:pt>
                <c:pt idx="10" formatCode="_(* #,##0.0_);_(* \(#,##0.0\);_(* &quot;-&quot;??_);_(@_)">
                  <c:v>91.4</c:v>
                </c:pt>
                <c:pt idx="12" formatCode="_(* #,##0.0_);_(* \(#,##0.0\);_(* &quot;-&quot;??_);_(@_)">
                  <c:v>81.7</c:v>
                </c:pt>
                <c:pt idx="13" formatCode="_(* #,##0.0_);_(* \(#,##0.0\);_(* &quot;-&quot;??_);_(@_)">
                  <c:v>47.6</c:v>
                </c:pt>
              </c:numCache>
            </c:numRef>
          </c:val>
        </c:ser>
        <c:dLbls>
          <c:showLegendKey val="0"/>
          <c:showVal val="0"/>
          <c:showCatName val="0"/>
          <c:showSerName val="0"/>
          <c:showPercent val="0"/>
          <c:showBubbleSize val="0"/>
        </c:dLbls>
        <c:gapWidth val="150"/>
        <c:axId val="130452480"/>
        <c:axId val="130454272"/>
      </c:barChart>
      <c:catAx>
        <c:axId val="130452480"/>
        <c:scaling>
          <c:orientation val="minMax"/>
        </c:scaling>
        <c:delete val="0"/>
        <c:axPos val="b"/>
        <c:majorTickMark val="out"/>
        <c:minorTickMark val="none"/>
        <c:tickLblPos val="nextTo"/>
        <c:txPr>
          <a:bodyPr/>
          <a:lstStyle/>
          <a:p>
            <a:pPr>
              <a:defRPr b="1"/>
            </a:pPr>
            <a:endParaRPr lang="en-US"/>
          </a:p>
        </c:txPr>
        <c:crossAx val="130454272"/>
        <c:crosses val="autoZero"/>
        <c:auto val="1"/>
        <c:lblAlgn val="ctr"/>
        <c:lblOffset val="100"/>
        <c:noMultiLvlLbl val="0"/>
      </c:catAx>
      <c:valAx>
        <c:axId val="130454272"/>
        <c:scaling>
          <c:orientation val="minMax"/>
        </c:scaling>
        <c:delete val="0"/>
        <c:axPos val="l"/>
        <c:numFmt formatCode="_(* #,##0.0_);_(* \(#,##0.0\);_(* &quot;-&quot;??_);_(@_)" sourceLinked="1"/>
        <c:majorTickMark val="out"/>
        <c:minorTickMark val="none"/>
        <c:tickLblPos val="nextTo"/>
        <c:crossAx val="130452480"/>
        <c:crosses val="autoZero"/>
        <c:crossBetween val="between"/>
      </c:valAx>
    </c:plotArea>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'Analysis of non HF states1 (2)'!$N$45</c:f>
              <c:strCache>
                <c:ptCount val="1"/>
                <c:pt idx="0">
                  <c:v> Births delivered by caesarean section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Pt>
            <c:idx val="7"/>
            <c:invertIfNegative val="0"/>
            <c:bubble3D val="0"/>
            <c:spPr>
              <a:solidFill>
                <a:srgbClr val="00B0F0"/>
              </a:solidFill>
            </c:spPr>
          </c:dPt>
          <c:dPt>
            <c:idx val="9"/>
            <c:invertIfNegative val="0"/>
            <c:bubble3D val="0"/>
            <c:spPr>
              <a:solidFill>
                <a:srgbClr val="00B0F0"/>
              </a:solidFill>
            </c:spPr>
          </c:dPt>
          <c:dPt>
            <c:idx val="11"/>
            <c:invertIfNegative val="0"/>
            <c:bubble3D val="0"/>
            <c:spPr>
              <a:solidFill>
                <a:srgbClr val="00B0F0"/>
              </a:solidFill>
            </c:spPr>
          </c:dPt>
          <c:dPt>
            <c:idx val="13"/>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(2)'!$O$43:$AB$44</c:f>
              <c:multiLvlStrCache>
                <c:ptCount val="14"/>
                <c:lvl>
                  <c:pt idx="0">
                    <c:v>NFHS IV (2015-16)</c:v>
                  </c:pt>
                  <c:pt idx="1">
                    <c:v>NFHS III(2005-06)</c:v>
                  </c:pt>
                  <c:pt idx="2">
                    <c:v>NFHS IV (2015-16)</c:v>
                  </c:pt>
                  <c:pt idx="3">
                    <c:v>NFHS III(2005-06)</c:v>
                  </c:pt>
                  <c:pt idx="4">
                    <c:v>NFHS IV (2015-16)</c:v>
                  </c:pt>
                  <c:pt idx="5">
                    <c:v>NFHS III(2005-06)</c:v>
                  </c:pt>
                  <c:pt idx="6">
                    <c:v>NFHS IV (2015-16)</c:v>
                  </c:pt>
                  <c:pt idx="7">
                    <c:v>NFHS III(2005-06)</c:v>
                  </c:pt>
                  <c:pt idx="8">
                    <c:v>NFHS IV (2015-16)</c:v>
                  </c:pt>
                  <c:pt idx="9">
                    <c:v>NFHS III(2005-06)</c:v>
                  </c:pt>
                  <c:pt idx="10">
                    <c:v>NFHS IV (2015-16)</c:v>
                  </c:pt>
                  <c:pt idx="11">
                    <c:v>NFHS III(2005-06)</c:v>
                  </c:pt>
                  <c:pt idx="12">
                    <c:v>NFHS IV (2015-16)</c:v>
                  </c:pt>
                  <c:pt idx="13">
                    <c:v>NFHS III(2005-06)</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(2)'!$O$45:$AB$45</c:f>
              <c:numCache>
                <c:formatCode>General</c:formatCode>
                <c:ptCount val="14"/>
                <c:pt idx="0" formatCode="_(* #,##0.0_);_(* \(#,##0.0\);_(* &quot;-&quot;??_);_(@_)">
                  <c:v>40.1</c:v>
                </c:pt>
                <c:pt idx="2" formatCode="_(* #,##0.0_);_(* \(#,##0.0\);_(* &quot;-&quot;??_);_(@_)">
                  <c:v>11.7</c:v>
                </c:pt>
                <c:pt idx="3" formatCode="_(* #,##0.0_);_(* \(#,##0.0\);_(* &quot;-&quot;??_);_(@_)">
                  <c:v>5.3</c:v>
                </c:pt>
                <c:pt idx="4" formatCode="_(* #,##0.0_);_(* \(#,##0.0\);_(* &quot;-&quot;??_);_(@_)">
                  <c:v>23.6</c:v>
                </c:pt>
                <c:pt idx="5" formatCode="_(* #,##0.0_);_(* \(#,##0.0\);_(* &quot;-&quot;??_);_(@_)">
                  <c:v>15.5</c:v>
                </c:pt>
                <c:pt idx="6">
                  <c:v>20.100000000000001</c:v>
                </c:pt>
                <c:pt idx="7">
                  <c:v>11.6</c:v>
                </c:pt>
                <c:pt idx="8" formatCode="_(* #,##0.0_);_(* \(#,##0.0\);_(* &quot;-&quot;??_);_(@_)">
                  <c:v>34.1</c:v>
                </c:pt>
                <c:pt idx="9" formatCode="_(* #,##0.0_);_(* \(#,##0.0\);_(* &quot;-&quot;??_);_(@_)">
                  <c:v>20.3</c:v>
                </c:pt>
                <c:pt idx="10" formatCode="_(* #,##0.0_);_(* \(#,##0.0\);_(* &quot;-&quot;??_);_(@_)">
                  <c:v>58</c:v>
                </c:pt>
                <c:pt idx="12" formatCode="_(* #,##0.0_);_(* \(#,##0.0\);_(* &quot;-&quot;??_);_(@_)">
                  <c:v>23.8</c:v>
                </c:pt>
                <c:pt idx="13" formatCode="_(* #,##0.0_);_(* \(#,##0.0\);_(* &quot;-&quot;??_);_(@_)">
                  <c:v>10.200000000000001</c:v>
                </c:pt>
              </c:numCache>
            </c:numRef>
          </c:val>
        </c:ser>
        <c:dLbls>
          <c:showLegendKey val="0"/>
          <c:showVal val="0"/>
          <c:showCatName val="0"/>
          <c:showSerName val="0"/>
          <c:showPercent val="0"/>
          <c:showBubbleSize val="0"/>
        </c:dLbls>
        <c:gapWidth val="150"/>
        <c:axId val="130481536"/>
        <c:axId val="130483328"/>
      </c:barChart>
      <c:catAx>
        <c:axId val="130481536"/>
        <c:scaling>
          <c:orientation val="minMax"/>
        </c:scaling>
        <c:delete val="0"/>
        <c:axPos val="b"/>
        <c:majorTickMark val="out"/>
        <c:minorTickMark val="none"/>
        <c:tickLblPos val="nextTo"/>
        <c:txPr>
          <a:bodyPr/>
          <a:lstStyle/>
          <a:p>
            <a:pPr>
              <a:defRPr b="1"/>
            </a:pPr>
            <a:endParaRPr lang="en-US"/>
          </a:p>
        </c:txPr>
        <c:crossAx val="130483328"/>
        <c:crosses val="autoZero"/>
        <c:auto val="1"/>
        <c:lblAlgn val="ctr"/>
        <c:lblOffset val="100"/>
        <c:noMultiLvlLbl val="0"/>
      </c:catAx>
      <c:valAx>
        <c:axId val="130483328"/>
        <c:scaling>
          <c:orientation val="minMax"/>
        </c:scaling>
        <c:delete val="0"/>
        <c:axPos val="l"/>
        <c:numFmt formatCode="_(* #,##0.0_);_(* \(#,##0.0\);_(* &quot;-&quot;??_);_(@_)" sourceLinked="1"/>
        <c:majorTickMark val="out"/>
        <c:minorTickMark val="none"/>
        <c:tickLblPos val="nextTo"/>
        <c:crossAx val="130481536"/>
        <c:crosses val="autoZero"/>
        <c:crossBetween val="between"/>
      </c:valAx>
    </c:plotArea>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'Analysis of non HF states1 (2)'!$N$50</c:f>
              <c:strCache>
                <c:ptCount val="1"/>
                <c:pt idx="0">
                  <c:v> Children age 12-23 months fully immunized (BCG, measles, and 3 doses each of polio and DPT)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Pt>
            <c:idx val="7"/>
            <c:invertIfNegative val="0"/>
            <c:bubble3D val="0"/>
            <c:spPr>
              <a:solidFill>
                <a:srgbClr val="00B0F0"/>
              </a:solidFill>
            </c:spPr>
          </c:dPt>
          <c:dPt>
            <c:idx val="9"/>
            <c:invertIfNegative val="0"/>
            <c:bubble3D val="0"/>
            <c:spPr>
              <a:solidFill>
                <a:srgbClr val="00B0F0"/>
              </a:solidFill>
            </c:spPr>
          </c:dPt>
          <c:dPt>
            <c:idx val="11"/>
            <c:invertIfNegative val="0"/>
            <c:bubble3D val="0"/>
            <c:spPr>
              <a:solidFill>
                <a:srgbClr val="00B0F0"/>
              </a:solidFill>
            </c:spPr>
          </c:dPt>
          <c:dPt>
            <c:idx val="13"/>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(2)'!$O$48:$AB$49</c:f>
              <c:multiLvlStrCache>
                <c:ptCount val="14"/>
                <c:lvl>
                  <c:pt idx="0">
                    <c:v>NFHS IV (2015-16)</c:v>
                  </c:pt>
                  <c:pt idx="1">
                    <c:v>NFHS III(2005-06)</c:v>
                  </c:pt>
                  <c:pt idx="2">
                    <c:v>NFHS IV (2015-16)</c:v>
                  </c:pt>
                  <c:pt idx="3">
                    <c:v>NFHS III(2005-06)</c:v>
                  </c:pt>
                  <c:pt idx="4">
                    <c:v>NFHS IV (2015-16)</c:v>
                  </c:pt>
                  <c:pt idx="5">
                    <c:v>NFHS III(2005-06)</c:v>
                  </c:pt>
                  <c:pt idx="6">
                    <c:v>NFHS IV (2015-16)</c:v>
                  </c:pt>
                  <c:pt idx="7">
                    <c:v>NFHS III(2005-06)</c:v>
                  </c:pt>
                  <c:pt idx="8">
                    <c:v>NFHS IV (2015-16)</c:v>
                  </c:pt>
                  <c:pt idx="9">
                    <c:v>NFHS III(2005-06)</c:v>
                  </c:pt>
                  <c:pt idx="10">
                    <c:v>NFHS IV (2015-16)</c:v>
                  </c:pt>
                  <c:pt idx="11">
                    <c:v>NFHS III(2005-06)</c:v>
                  </c:pt>
                  <c:pt idx="12">
                    <c:v>NFHS IV (2015-16)</c:v>
                  </c:pt>
                  <c:pt idx="13">
                    <c:v>NFHS III(2005-06)</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(2)'!$O$50:$AB$50</c:f>
              <c:numCache>
                <c:formatCode>General</c:formatCode>
                <c:ptCount val="14"/>
                <c:pt idx="0" formatCode="_(* #,##0.0_);_(* \(#,##0.0\);_(* &quot;-&quot;??_);_(@_)">
                  <c:v>65.3</c:v>
                </c:pt>
                <c:pt idx="2" formatCode="_(* #,##0.0_);_(* \(#,##0.0\);_(* &quot;-&quot;??_);_(@_)">
                  <c:v>62.2</c:v>
                </c:pt>
                <c:pt idx="3" formatCode="_(* #,##0.0_);_(* \(#,##0.0\);_(* &quot;-&quot;??_);_(@_)">
                  <c:v>65.3</c:v>
                </c:pt>
                <c:pt idx="4" formatCode="_(* #,##0.0_);_(* \(#,##0.0\);_(* &quot;-&quot;??_);_(@_)">
                  <c:v>62.6</c:v>
                </c:pt>
                <c:pt idx="5" formatCode="_(* #,##0.0_);_(* \(#,##0.0\);_(* &quot;-&quot;??_);_(@_)">
                  <c:v>55</c:v>
                </c:pt>
                <c:pt idx="6">
                  <c:v>56.3</c:v>
                </c:pt>
                <c:pt idx="7">
                  <c:v>58.8</c:v>
                </c:pt>
                <c:pt idx="8" formatCode="_(* #,##0.0_);_(* \(#,##0.0\);_(* &quot;-&quot;??_);_(@_)">
                  <c:v>69.7</c:v>
                </c:pt>
                <c:pt idx="9" formatCode="_(* #,##0.0_);_(* \(#,##0.0\);_(* &quot;-&quot;??_);_(@_)">
                  <c:v>80.900000000000006</c:v>
                </c:pt>
                <c:pt idx="10" formatCode="_(* #,##0.0_);_(* \(#,##0.0\);_(* &quot;-&quot;??_);_(@_)">
                  <c:v>68.099999999999994</c:v>
                </c:pt>
                <c:pt idx="12" formatCode="_(* #,##0.0_);_(* \(#,##0.0\);_(* &quot;-&quot;??_);_(@_)">
                  <c:v>84.4</c:v>
                </c:pt>
                <c:pt idx="13" formatCode="_(* #,##0.0_);_(* \(#,##0.0\);_(* &quot;-&quot;??_);_(@_)">
                  <c:v>64.3</c:v>
                </c:pt>
              </c:numCache>
            </c:numRef>
          </c:val>
        </c:ser>
        <c:dLbls>
          <c:showLegendKey val="0"/>
          <c:showVal val="0"/>
          <c:showCatName val="0"/>
          <c:showSerName val="0"/>
          <c:showPercent val="0"/>
          <c:showBubbleSize val="0"/>
        </c:dLbls>
        <c:gapWidth val="150"/>
        <c:axId val="130506752"/>
        <c:axId val="130508288"/>
      </c:barChart>
      <c:catAx>
        <c:axId val="130506752"/>
        <c:scaling>
          <c:orientation val="minMax"/>
        </c:scaling>
        <c:delete val="0"/>
        <c:axPos val="b"/>
        <c:majorTickMark val="out"/>
        <c:minorTickMark val="none"/>
        <c:tickLblPos val="nextTo"/>
        <c:txPr>
          <a:bodyPr/>
          <a:lstStyle/>
          <a:p>
            <a:pPr>
              <a:defRPr b="1"/>
            </a:pPr>
            <a:endParaRPr lang="en-US"/>
          </a:p>
        </c:txPr>
        <c:crossAx val="130508288"/>
        <c:crosses val="autoZero"/>
        <c:auto val="1"/>
        <c:lblAlgn val="ctr"/>
        <c:lblOffset val="100"/>
        <c:noMultiLvlLbl val="0"/>
      </c:catAx>
      <c:valAx>
        <c:axId val="130508288"/>
        <c:scaling>
          <c:orientation val="minMax"/>
        </c:scaling>
        <c:delete val="0"/>
        <c:axPos val="l"/>
        <c:numFmt formatCode="_(* #,##0.0_);_(* \(#,##0.0\);_(* &quot;-&quot;??_);_(@_)" sourceLinked="1"/>
        <c:majorTickMark val="out"/>
        <c:minorTickMark val="none"/>
        <c:tickLblPos val="nextTo"/>
        <c:crossAx val="130506752"/>
        <c:crosses val="autoZero"/>
        <c:crossBetween val="between"/>
      </c:valAx>
    </c:plotArea>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400"/>
            </a:pPr>
            <a:r>
              <a:rPr lang="en-US"/>
              <a:t> Children under age 3 years breastfed within one hour of birth (%)</a:t>
            </a:r>
          </a:p>
        </c:rich>
      </c:tx>
      <c:overlay val="0"/>
    </c:title>
    <c:autoTitleDeleted val="0"/>
    <c:plotArea>
      <c:layout/>
      <c:barChart>
        <c:barDir val="col"/>
        <c:grouping val="clustered"/>
        <c:varyColors val="0"/>
        <c:ser>
          <c:idx val="0"/>
          <c:order val="0"/>
          <c:tx>
            <c:strRef>
              <c:f>'Analysis of non HF states1 (2)'!$N$59</c:f>
              <c:strCache>
                <c:ptCount val="1"/>
                <c:pt idx="0">
                  <c:v> Children under age 3 years breastfed within one hour of birth9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Pt>
            <c:idx val="7"/>
            <c:invertIfNegative val="0"/>
            <c:bubble3D val="0"/>
            <c:spPr>
              <a:solidFill>
                <a:srgbClr val="00B0F0"/>
              </a:solidFill>
            </c:spPr>
          </c:dPt>
          <c:dPt>
            <c:idx val="9"/>
            <c:invertIfNegative val="0"/>
            <c:bubble3D val="0"/>
            <c:spPr>
              <a:solidFill>
                <a:srgbClr val="00B0F0"/>
              </a:solidFill>
            </c:spPr>
          </c:dPt>
          <c:dPt>
            <c:idx val="11"/>
            <c:invertIfNegative val="0"/>
            <c:bubble3D val="0"/>
            <c:spPr>
              <a:solidFill>
                <a:srgbClr val="00B0F0"/>
              </a:solidFill>
            </c:spPr>
          </c:dPt>
          <c:dPt>
            <c:idx val="13"/>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(2)'!$O$57:$AB$58</c:f>
              <c:multiLvlStrCache>
                <c:ptCount val="14"/>
                <c:lvl>
                  <c:pt idx="0">
                    <c:v>NFHS IV (2015-16)</c:v>
                  </c:pt>
                  <c:pt idx="1">
                    <c:v>NFHS III(2005-06)</c:v>
                  </c:pt>
                  <c:pt idx="2">
                    <c:v>NFHS IV (2015-16)</c:v>
                  </c:pt>
                  <c:pt idx="3">
                    <c:v>NFHS III(2005-06)</c:v>
                  </c:pt>
                  <c:pt idx="4">
                    <c:v>NFHS IV (2015-16)</c:v>
                  </c:pt>
                  <c:pt idx="5">
                    <c:v>NFHS III(2005-06)</c:v>
                  </c:pt>
                  <c:pt idx="6">
                    <c:v>NFHS IV (2015-16)</c:v>
                  </c:pt>
                  <c:pt idx="7">
                    <c:v>NFHS III(2005-06)</c:v>
                  </c:pt>
                  <c:pt idx="8">
                    <c:v>NFHS IV (2015-16)</c:v>
                  </c:pt>
                  <c:pt idx="9">
                    <c:v>NFHS III(2005-06)</c:v>
                  </c:pt>
                  <c:pt idx="10">
                    <c:v>NFHS IV (2015-16)</c:v>
                  </c:pt>
                  <c:pt idx="11">
                    <c:v>NFHS III(2005-06)</c:v>
                  </c:pt>
                  <c:pt idx="12">
                    <c:v>NFHS IV (2015-16)</c:v>
                  </c:pt>
                  <c:pt idx="13">
                    <c:v>NFHS III(2005-06)</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(2)'!$O$59:$AB$59</c:f>
              <c:numCache>
                <c:formatCode>General</c:formatCode>
                <c:ptCount val="14"/>
                <c:pt idx="0" formatCode="_(* #,##0.0_);_(* \(#,##0.0\);_(* &quot;-&quot;??_);_(@_)">
                  <c:v>40.1</c:v>
                </c:pt>
                <c:pt idx="2" formatCode="_(* #,##0.0_);_(* \(#,##0.0\);_(* &quot;-&quot;??_);_(@_)">
                  <c:v>42.4</c:v>
                </c:pt>
                <c:pt idx="3" formatCode="_(* #,##0.0_);_(* \(#,##0.0\);_(* &quot;-&quot;??_);_(@_)">
                  <c:v>22.3</c:v>
                </c:pt>
                <c:pt idx="4" formatCode="_(* #,##0.0_);_(* \(#,##0.0\);_(* &quot;-&quot;??_);_(@_)">
                  <c:v>56.4</c:v>
                </c:pt>
                <c:pt idx="5" formatCode="_(* #,##0.0_);_(* \(#,##0.0\);_(* &quot;-&quot;??_);_(@_)">
                  <c:v>35.6</c:v>
                </c:pt>
                <c:pt idx="6">
                  <c:v>57.5</c:v>
                </c:pt>
                <c:pt idx="7">
                  <c:v>51.8</c:v>
                </c:pt>
                <c:pt idx="8" formatCode="_(* #,##0.0_);_(* \(#,##0.0\);_(* &quot;-&quot;??_);_(@_)">
                  <c:v>54.7</c:v>
                </c:pt>
                <c:pt idx="9" formatCode="_(* #,##0.0_);_(* \(#,##0.0\);_(* &quot;-&quot;??_);_(@_)">
                  <c:v>55.2</c:v>
                </c:pt>
                <c:pt idx="10" formatCode="_(* #,##0.0_);_(* \(#,##0.0\);_(* &quot;-&quot;??_);_(@_)">
                  <c:v>37.1</c:v>
                </c:pt>
                <c:pt idx="12" formatCode="_(* #,##0.0_);_(* \(#,##0.0\);_(* &quot;-&quot;??_);_(@_)">
                  <c:v>47.5</c:v>
                </c:pt>
                <c:pt idx="13" formatCode="_(* #,##0.0_);_(* \(#,##0.0\);_(* &quot;-&quot;??_);_(@_)">
                  <c:v>23.7</c:v>
                </c:pt>
              </c:numCache>
            </c:numRef>
          </c:val>
        </c:ser>
        <c:dLbls>
          <c:showLegendKey val="0"/>
          <c:showVal val="0"/>
          <c:showCatName val="0"/>
          <c:showSerName val="0"/>
          <c:showPercent val="0"/>
          <c:showBubbleSize val="0"/>
        </c:dLbls>
        <c:gapWidth val="150"/>
        <c:axId val="130679168"/>
        <c:axId val="130680704"/>
      </c:barChart>
      <c:catAx>
        <c:axId val="130679168"/>
        <c:scaling>
          <c:orientation val="minMax"/>
        </c:scaling>
        <c:delete val="0"/>
        <c:axPos val="b"/>
        <c:majorTickMark val="out"/>
        <c:minorTickMark val="none"/>
        <c:tickLblPos val="nextTo"/>
        <c:txPr>
          <a:bodyPr/>
          <a:lstStyle/>
          <a:p>
            <a:pPr>
              <a:defRPr b="1"/>
            </a:pPr>
            <a:endParaRPr lang="en-US"/>
          </a:p>
        </c:txPr>
        <c:crossAx val="130680704"/>
        <c:crosses val="autoZero"/>
        <c:auto val="1"/>
        <c:lblAlgn val="ctr"/>
        <c:lblOffset val="100"/>
        <c:noMultiLvlLbl val="0"/>
      </c:catAx>
      <c:valAx>
        <c:axId val="130680704"/>
        <c:scaling>
          <c:orientation val="minMax"/>
        </c:scaling>
        <c:delete val="0"/>
        <c:axPos val="l"/>
        <c:numFmt formatCode="_(* #,##0.0_);_(* \(#,##0.0\);_(* &quot;-&quot;??_);_(@_)" sourceLinked="1"/>
        <c:majorTickMark val="out"/>
        <c:minorTickMark val="none"/>
        <c:tickLblPos val="nextTo"/>
        <c:crossAx val="130679168"/>
        <c:crosses val="autoZero"/>
        <c:crossBetween val="between"/>
      </c:valAx>
    </c:plotArea>
    <c:plotVisOnly val="1"/>
    <c:dispBlanksAs val="gap"/>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400"/>
            </a:pPr>
            <a:r>
              <a:rPr lang="en-US"/>
              <a:t> Children under 5 years who are stunted (height-for-age)-2SD (%)</a:t>
            </a:r>
          </a:p>
        </c:rich>
      </c:tx>
      <c:overlay val="0"/>
    </c:title>
    <c:autoTitleDeleted val="0"/>
    <c:plotArea>
      <c:layout/>
      <c:barChart>
        <c:barDir val="col"/>
        <c:grouping val="clustered"/>
        <c:varyColors val="0"/>
        <c:ser>
          <c:idx val="0"/>
          <c:order val="0"/>
          <c:tx>
            <c:strRef>
              <c:f>'Analysis of non HF states1 (2)'!$N$62</c:f>
              <c:strCache>
                <c:ptCount val="1"/>
                <c:pt idx="0">
                  <c:v> Children under 5 years who are stunted (height-for-age)12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Pt>
            <c:idx val="7"/>
            <c:invertIfNegative val="0"/>
            <c:bubble3D val="0"/>
            <c:spPr>
              <a:solidFill>
                <a:srgbClr val="00B0F0"/>
              </a:solidFill>
            </c:spPr>
          </c:dPt>
          <c:dPt>
            <c:idx val="9"/>
            <c:invertIfNegative val="0"/>
            <c:bubble3D val="0"/>
            <c:spPr>
              <a:solidFill>
                <a:srgbClr val="00B0F0"/>
              </a:solidFill>
            </c:spPr>
          </c:dPt>
          <c:dPt>
            <c:idx val="11"/>
            <c:invertIfNegative val="0"/>
            <c:bubble3D val="0"/>
            <c:spPr>
              <a:solidFill>
                <a:srgbClr val="00B0F0"/>
              </a:solidFill>
            </c:spPr>
          </c:dPt>
          <c:dPt>
            <c:idx val="13"/>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(2)'!$O$60:$AB$61</c:f>
              <c:multiLvlStrCache>
                <c:ptCount val="14"/>
                <c:lvl>
                  <c:pt idx="0">
                    <c:v>NFHS IV (2015-16)</c:v>
                  </c:pt>
                  <c:pt idx="1">
                    <c:v>NFHS III(2005-06)</c:v>
                  </c:pt>
                  <c:pt idx="2">
                    <c:v>NFHS IV (2015-16)</c:v>
                  </c:pt>
                  <c:pt idx="3">
                    <c:v>NFHS III(2005-06)</c:v>
                  </c:pt>
                  <c:pt idx="4">
                    <c:v>NFHS IV (2015-16)</c:v>
                  </c:pt>
                  <c:pt idx="5">
                    <c:v>NFHS III(2005-06)</c:v>
                  </c:pt>
                  <c:pt idx="6">
                    <c:v>NFHS IV (2015-16)</c:v>
                  </c:pt>
                  <c:pt idx="7">
                    <c:v>NFHS III(2005-06)</c:v>
                  </c:pt>
                  <c:pt idx="8">
                    <c:v>NFHS IV (2015-16)</c:v>
                  </c:pt>
                  <c:pt idx="9">
                    <c:v>NFHS III(2005-06)</c:v>
                  </c:pt>
                  <c:pt idx="10">
                    <c:v>NFHS IV (2015-16)</c:v>
                  </c:pt>
                  <c:pt idx="11">
                    <c:v>NFHS III(2005-06)</c:v>
                  </c:pt>
                  <c:pt idx="12">
                    <c:v>NFHS IV (2015-16)</c:v>
                  </c:pt>
                  <c:pt idx="13">
                    <c:v>NFHS III(2005-06)</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(2)'!$O$62:$AB$62</c:f>
              <c:numCache>
                <c:formatCode>General</c:formatCode>
                <c:ptCount val="14"/>
                <c:pt idx="0" formatCode="_(* #,##0.0_);_(* \(#,##0.0\);_(* &quot;-&quot;??_);_(@_)">
                  <c:v>31.4</c:v>
                </c:pt>
                <c:pt idx="2" formatCode="_(* #,##0.0_);_(* \(#,##0.0\);_(* &quot;-&quot;??_);_(@_)">
                  <c:v>34</c:v>
                </c:pt>
                <c:pt idx="3" formatCode="_(* #,##0.0_);_(* \(#,##0.0\);_(* &quot;-&quot;??_);_(@_)">
                  <c:v>45.7</c:v>
                </c:pt>
                <c:pt idx="4" formatCode="_(* #,##0.0_);_(* \(#,##0.0\);_(* &quot;-&quot;??_);_(@_)">
                  <c:v>36.200000000000003</c:v>
                </c:pt>
                <c:pt idx="5" formatCode="_(* #,##0.0_);_(* \(#,##0.0\);_(* &quot;-&quot;??_);_(@_)">
                  <c:v>43.7</c:v>
                </c:pt>
                <c:pt idx="6">
                  <c:v>34.4</c:v>
                </c:pt>
                <c:pt idx="7">
                  <c:v>46.3</c:v>
                </c:pt>
                <c:pt idx="8" formatCode="_(* #,##0.0_);_(* \(#,##0.0\);_(* &quot;-&quot;??_);_(@_)">
                  <c:v>27.1</c:v>
                </c:pt>
                <c:pt idx="9" formatCode="_(* #,##0.0_);_(* \(#,##0.0\);_(* &quot;-&quot;??_);_(@_)">
                  <c:v>30.9</c:v>
                </c:pt>
                <c:pt idx="10" formatCode="_(* #,##0.0_);_(* \(#,##0.0\);_(* &quot;-&quot;??_);_(@_)">
                  <c:v>28.1</c:v>
                </c:pt>
                <c:pt idx="12" formatCode="_(* #,##0.0_);_(* \(#,##0.0\);_(* &quot;-&quot;??_);_(@_)">
                  <c:v>32.5</c:v>
                </c:pt>
                <c:pt idx="13" formatCode="_(* #,##0.0_);_(* \(#,##0.0\);_(* &quot;-&quot;??_);_(@_)">
                  <c:v>44.6</c:v>
                </c:pt>
              </c:numCache>
            </c:numRef>
          </c:val>
        </c:ser>
        <c:dLbls>
          <c:showLegendKey val="0"/>
          <c:showVal val="0"/>
          <c:showCatName val="0"/>
          <c:showSerName val="0"/>
          <c:showPercent val="0"/>
          <c:showBubbleSize val="0"/>
        </c:dLbls>
        <c:gapWidth val="150"/>
        <c:axId val="130716416"/>
        <c:axId val="130717952"/>
      </c:barChart>
      <c:catAx>
        <c:axId val="130716416"/>
        <c:scaling>
          <c:orientation val="minMax"/>
        </c:scaling>
        <c:delete val="0"/>
        <c:axPos val="b"/>
        <c:majorTickMark val="out"/>
        <c:minorTickMark val="none"/>
        <c:tickLblPos val="nextTo"/>
        <c:txPr>
          <a:bodyPr/>
          <a:lstStyle/>
          <a:p>
            <a:pPr>
              <a:defRPr b="1"/>
            </a:pPr>
            <a:endParaRPr lang="en-US"/>
          </a:p>
        </c:txPr>
        <c:crossAx val="130717952"/>
        <c:crosses val="autoZero"/>
        <c:auto val="1"/>
        <c:lblAlgn val="ctr"/>
        <c:lblOffset val="100"/>
        <c:noMultiLvlLbl val="0"/>
      </c:catAx>
      <c:valAx>
        <c:axId val="130717952"/>
        <c:scaling>
          <c:orientation val="minMax"/>
        </c:scaling>
        <c:delete val="0"/>
        <c:axPos val="l"/>
        <c:numFmt formatCode="_(* #,##0.0_);_(* \(#,##0.0\);_(* &quot;-&quot;??_);_(@_)" sourceLinked="1"/>
        <c:majorTickMark val="out"/>
        <c:minorTickMark val="none"/>
        <c:tickLblPos val="nextTo"/>
        <c:crossAx val="130716416"/>
        <c:crosses val="autoZero"/>
        <c:crossBetween val="between"/>
      </c:valAx>
    </c:plotArea>
    <c:plotVisOnly val="1"/>
    <c:dispBlanksAs val="gap"/>
    <c:showDLblsOverMax val="0"/>
  </c:chart>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400"/>
            </a:pPr>
            <a:r>
              <a:rPr lang="en-US"/>
              <a:t> Children under 5 years who are wasted (weight-for-height)-2SD (%)</a:t>
            </a:r>
          </a:p>
        </c:rich>
      </c:tx>
      <c:overlay val="0"/>
    </c:title>
    <c:autoTitleDeleted val="0"/>
    <c:plotArea>
      <c:layout/>
      <c:barChart>
        <c:barDir val="col"/>
        <c:grouping val="clustered"/>
        <c:varyColors val="0"/>
        <c:ser>
          <c:idx val="0"/>
          <c:order val="0"/>
          <c:tx>
            <c:strRef>
              <c:f>'Analysis of non HF states1 (2)'!$N$65</c:f>
              <c:strCache>
                <c:ptCount val="1"/>
                <c:pt idx="0">
                  <c:v> Children under 5 years who are wasted (weight-for-height)12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Pt>
            <c:idx val="7"/>
            <c:invertIfNegative val="0"/>
            <c:bubble3D val="0"/>
            <c:spPr>
              <a:solidFill>
                <a:srgbClr val="00B0F0"/>
              </a:solidFill>
            </c:spPr>
          </c:dPt>
          <c:dPt>
            <c:idx val="9"/>
            <c:invertIfNegative val="0"/>
            <c:bubble3D val="0"/>
            <c:spPr>
              <a:solidFill>
                <a:srgbClr val="00B0F0"/>
              </a:solidFill>
            </c:spPr>
          </c:dPt>
          <c:dPt>
            <c:idx val="11"/>
            <c:invertIfNegative val="0"/>
            <c:bubble3D val="0"/>
            <c:spPr>
              <a:solidFill>
                <a:srgbClr val="00B0F0"/>
              </a:solidFill>
            </c:spPr>
          </c:dPt>
          <c:dPt>
            <c:idx val="13"/>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(2)'!$O$63:$AB$64</c:f>
              <c:multiLvlStrCache>
                <c:ptCount val="14"/>
                <c:lvl>
                  <c:pt idx="0">
                    <c:v>NFHS IV (2015-16)</c:v>
                  </c:pt>
                  <c:pt idx="1">
                    <c:v>NFHS III(2005-06)</c:v>
                  </c:pt>
                  <c:pt idx="2">
                    <c:v>NFHS IV (2015-16)</c:v>
                  </c:pt>
                  <c:pt idx="3">
                    <c:v>NFHS III(2005-06)</c:v>
                  </c:pt>
                  <c:pt idx="4">
                    <c:v>NFHS IV (2015-16)</c:v>
                  </c:pt>
                  <c:pt idx="5">
                    <c:v>NFHS III(2005-06)</c:v>
                  </c:pt>
                  <c:pt idx="6">
                    <c:v>NFHS IV (2015-16)</c:v>
                  </c:pt>
                  <c:pt idx="7">
                    <c:v>NFHS III(2005-06)</c:v>
                  </c:pt>
                  <c:pt idx="8">
                    <c:v>NFHS IV (2015-16)</c:v>
                  </c:pt>
                  <c:pt idx="9">
                    <c:v>NFHS III(2005-06)</c:v>
                  </c:pt>
                  <c:pt idx="10">
                    <c:v>NFHS IV (2015-16)</c:v>
                  </c:pt>
                  <c:pt idx="11">
                    <c:v>NFHS III(2005-06)</c:v>
                  </c:pt>
                  <c:pt idx="12">
                    <c:v>NFHS IV (2015-16)</c:v>
                  </c:pt>
                  <c:pt idx="13">
                    <c:v>NFHS III(2005-06)</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(2)'!$O$65:$AB$65</c:f>
              <c:numCache>
                <c:formatCode>General</c:formatCode>
                <c:ptCount val="14"/>
                <c:pt idx="0" formatCode="_(* #,##0.0_);_(* \(#,##0.0\);_(* &quot;-&quot;??_);_(@_)">
                  <c:v>17.2</c:v>
                </c:pt>
                <c:pt idx="2" formatCode="_(* #,##0.0_);_(* \(#,##0.0\);_(* &quot;-&quot;??_);_(@_)">
                  <c:v>21.2</c:v>
                </c:pt>
                <c:pt idx="3" formatCode="_(* #,##0.0_);_(* \(#,##0.0\);_(* &quot;-&quot;??_);_(@_)">
                  <c:v>19.100000000000001</c:v>
                </c:pt>
                <c:pt idx="4" formatCode="_(* #,##0.0_);_(* \(#,##0.0\);_(* &quot;-&quot;??_);_(@_)">
                  <c:v>26.1</c:v>
                </c:pt>
                <c:pt idx="5" formatCode="_(* #,##0.0_);_(* \(#,##0.0\);_(* &quot;-&quot;??_);_(@_)">
                  <c:v>17.600000000000001</c:v>
                </c:pt>
                <c:pt idx="6">
                  <c:v>25.6</c:v>
                </c:pt>
                <c:pt idx="7">
                  <c:v>16.5</c:v>
                </c:pt>
                <c:pt idx="8" formatCode="_(* #,##0.0_);_(* \(#,##0.0\);_(* &quot;-&quot;??_);_(@_)">
                  <c:v>19.7</c:v>
                </c:pt>
                <c:pt idx="9" formatCode="_(* #,##0.0_);_(* \(#,##0.0\);_(* &quot;-&quot;??_);_(@_)">
                  <c:v>22.2</c:v>
                </c:pt>
                <c:pt idx="10" formatCode="_(* #,##0.0_);_(* \(#,##0.0\);_(* &quot;-&quot;??_);_(@_)">
                  <c:v>18</c:v>
                </c:pt>
                <c:pt idx="12" formatCode="_(* #,##0.0_);_(* \(#,##0.0\);_(* &quot;-&quot;??_);_(@_)">
                  <c:v>20.3</c:v>
                </c:pt>
                <c:pt idx="13" formatCode="_(* #,##0.0_);_(* \(#,##0.0\);_(* &quot;-&quot;??_);_(@_)">
                  <c:v>16.899999999999999</c:v>
                </c:pt>
              </c:numCache>
            </c:numRef>
          </c:val>
        </c:ser>
        <c:dLbls>
          <c:showLegendKey val="0"/>
          <c:showVal val="0"/>
          <c:showCatName val="0"/>
          <c:showSerName val="0"/>
          <c:showPercent val="0"/>
          <c:showBubbleSize val="0"/>
        </c:dLbls>
        <c:gapWidth val="150"/>
        <c:axId val="130229376"/>
        <c:axId val="130230912"/>
      </c:barChart>
      <c:catAx>
        <c:axId val="130229376"/>
        <c:scaling>
          <c:orientation val="minMax"/>
        </c:scaling>
        <c:delete val="0"/>
        <c:axPos val="b"/>
        <c:majorTickMark val="out"/>
        <c:minorTickMark val="none"/>
        <c:tickLblPos val="nextTo"/>
        <c:txPr>
          <a:bodyPr/>
          <a:lstStyle/>
          <a:p>
            <a:pPr>
              <a:defRPr b="1"/>
            </a:pPr>
            <a:endParaRPr lang="en-US"/>
          </a:p>
        </c:txPr>
        <c:crossAx val="130230912"/>
        <c:crosses val="autoZero"/>
        <c:auto val="1"/>
        <c:lblAlgn val="ctr"/>
        <c:lblOffset val="100"/>
        <c:noMultiLvlLbl val="0"/>
      </c:catAx>
      <c:valAx>
        <c:axId val="130230912"/>
        <c:scaling>
          <c:orientation val="minMax"/>
        </c:scaling>
        <c:delete val="0"/>
        <c:axPos val="l"/>
        <c:numFmt formatCode="_(* #,##0.0_);_(* \(#,##0.0\);_(* &quot;-&quot;??_);_(@_)" sourceLinked="1"/>
        <c:majorTickMark val="out"/>
        <c:minorTickMark val="none"/>
        <c:tickLblPos val="nextTo"/>
        <c:crossAx val="130229376"/>
        <c:crosses val="autoZero"/>
        <c:crossBetween val="between"/>
      </c:valAx>
    </c:plotArea>
    <c:plotVisOnly val="1"/>
    <c:dispBlanksAs val="gap"/>
    <c:showDLblsOverMax val="0"/>
  </c:chart>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400"/>
            </a:pPr>
            <a:r>
              <a:rPr lang="en-US"/>
              <a:t> Children under 5 years who are severely wasted (weight-for-height)-3SD (%)</a:t>
            </a:r>
          </a:p>
        </c:rich>
      </c:tx>
      <c:overlay val="0"/>
    </c:title>
    <c:autoTitleDeleted val="0"/>
    <c:plotArea>
      <c:layout/>
      <c:barChart>
        <c:barDir val="col"/>
        <c:grouping val="clustered"/>
        <c:varyColors val="0"/>
        <c:ser>
          <c:idx val="0"/>
          <c:order val="0"/>
          <c:tx>
            <c:strRef>
              <c:f>'Analysis of non HF states1 (2)'!$N$68</c:f>
              <c:strCache>
                <c:ptCount val="1"/>
                <c:pt idx="0">
                  <c:v> Children under 5 years who are severely wasted (weight-for-height)13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Pt>
            <c:idx val="7"/>
            <c:invertIfNegative val="0"/>
            <c:bubble3D val="0"/>
            <c:spPr>
              <a:solidFill>
                <a:srgbClr val="00B0F0"/>
              </a:solidFill>
            </c:spPr>
          </c:dPt>
          <c:dPt>
            <c:idx val="9"/>
            <c:invertIfNegative val="0"/>
            <c:bubble3D val="0"/>
            <c:spPr>
              <a:solidFill>
                <a:srgbClr val="00B0F0"/>
              </a:solidFill>
            </c:spPr>
          </c:dPt>
          <c:dPt>
            <c:idx val="11"/>
            <c:invertIfNegative val="0"/>
            <c:bubble3D val="0"/>
            <c:spPr>
              <a:solidFill>
                <a:srgbClr val="00B0F0"/>
              </a:solidFill>
            </c:spPr>
          </c:dPt>
          <c:dPt>
            <c:idx val="13"/>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(2)'!$O$66:$AB$67</c:f>
              <c:multiLvlStrCache>
                <c:ptCount val="14"/>
                <c:lvl>
                  <c:pt idx="0">
                    <c:v>NFHS IV (2015-16)</c:v>
                  </c:pt>
                  <c:pt idx="1">
                    <c:v>NFHS III(2005-06)</c:v>
                  </c:pt>
                  <c:pt idx="2">
                    <c:v>NFHS IV (2015-16)</c:v>
                  </c:pt>
                  <c:pt idx="3">
                    <c:v>NFHS III(2005-06)</c:v>
                  </c:pt>
                  <c:pt idx="4">
                    <c:v>NFHS IV (2015-16)</c:v>
                  </c:pt>
                  <c:pt idx="5">
                    <c:v>NFHS III(2005-06)</c:v>
                  </c:pt>
                  <c:pt idx="6">
                    <c:v>NFHS IV (2015-16)</c:v>
                  </c:pt>
                  <c:pt idx="7">
                    <c:v>NFHS III(2005-06)</c:v>
                  </c:pt>
                  <c:pt idx="8">
                    <c:v>NFHS IV (2015-16)</c:v>
                  </c:pt>
                  <c:pt idx="9">
                    <c:v>NFHS III(2005-06)</c:v>
                  </c:pt>
                  <c:pt idx="10">
                    <c:v>NFHS IV (2015-16)</c:v>
                  </c:pt>
                  <c:pt idx="11">
                    <c:v>NFHS III(2005-06)</c:v>
                  </c:pt>
                  <c:pt idx="12">
                    <c:v>NFHS IV (2015-16)</c:v>
                  </c:pt>
                  <c:pt idx="13">
                    <c:v>NFHS III(2005-06)</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(2)'!$O$68:$AB$68</c:f>
              <c:numCache>
                <c:formatCode>General</c:formatCode>
                <c:ptCount val="14"/>
                <c:pt idx="0" formatCode="_(* #,##0.0_);_(* \(#,##0.0\);_(* &quot;-&quot;??_);_(@_)">
                  <c:v>4.5</c:v>
                </c:pt>
                <c:pt idx="2" formatCode="_(* #,##0.0_);_(* \(#,##0.0\);_(* &quot;-&quot;??_);_(@_)">
                  <c:v>9</c:v>
                </c:pt>
                <c:pt idx="3" formatCode="_(* #,##0.0_);_(* \(#,##0.0\);_(* &quot;-&quot;??_);_(@_)">
                  <c:v>5</c:v>
                </c:pt>
                <c:pt idx="4" formatCode="_(* #,##0.0_);_(* \(#,##0.0\);_(* &quot;-&quot;??_);_(@_)">
                  <c:v>10.5</c:v>
                </c:pt>
                <c:pt idx="5" formatCode="_(* #,##0.0_);_(* \(#,##0.0\);_(* &quot;-&quot;??_);_(@_)">
                  <c:v>5.9</c:v>
                </c:pt>
                <c:pt idx="6">
                  <c:v>9.4</c:v>
                </c:pt>
                <c:pt idx="7">
                  <c:v>5.2</c:v>
                </c:pt>
                <c:pt idx="8" formatCode="_(* #,##0.0_);_(* \(#,##0.0\);_(* &quot;-&quot;??_);_(@_)">
                  <c:v>7.9</c:v>
                </c:pt>
                <c:pt idx="9" formatCode="_(* #,##0.0_);_(* \(#,##0.0\);_(* &quot;-&quot;??_);_(@_)">
                  <c:v>8.9</c:v>
                </c:pt>
                <c:pt idx="10" formatCode="_(* #,##0.0_);_(* \(#,##0.0\);_(* &quot;-&quot;??_);_(@_)">
                  <c:v>4.8</c:v>
                </c:pt>
                <c:pt idx="12" formatCode="_(* #,##0.0_);_(* \(#,##0.0\);_(* &quot;-&quot;??_);_(@_)">
                  <c:v>6.5</c:v>
                </c:pt>
                <c:pt idx="13" formatCode="_(* #,##0.0_);_(* \(#,##0.0\);_(* &quot;-&quot;??_);_(@_)">
                  <c:v>4.5</c:v>
                </c:pt>
              </c:numCache>
            </c:numRef>
          </c:val>
        </c:ser>
        <c:dLbls>
          <c:showLegendKey val="0"/>
          <c:showVal val="0"/>
          <c:showCatName val="0"/>
          <c:showSerName val="0"/>
          <c:showPercent val="0"/>
          <c:showBubbleSize val="0"/>
        </c:dLbls>
        <c:gapWidth val="150"/>
        <c:axId val="130278912"/>
        <c:axId val="130280448"/>
      </c:barChart>
      <c:catAx>
        <c:axId val="130278912"/>
        <c:scaling>
          <c:orientation val="minMax"/>
        </c:scaling>
        <c:delete val="0"/>
        <c:axPos val="b"/>
        <c:majorTickMark val="out"/>
        <c:minorTickMark val="none"/>
        <c:tickLblPos val="nextTo"/>
        <c:txPr>
          <a:bodyPr/>
          <a:lstStyle/>
          <a:p>
            <a:pPr>
              <a:defRPr b="1"/>
            </a:pPr>
            <a:endParaRPr lang="en-US"/>
          </a:p>
        </c:txPr>
        <c:crossAx val="130280448"/>
        <c:crosses val="autoZero"/>
        <c:auto val="1"/>
        <c:lblAlgn val="ctr"/>
        <c:lblOffset val="100"/>
        <c:noMultiLvlLbl val="0"/>
      </c:catAx>
      <c:valAx>
        <c:axId val="130280448"/>
        <c:scaling>
          <c:orientation val="minMax"/>
        </c:scaling>
        <c:delete val="0"/>
        <c:axPos val="l"/>
        <c:numFmt formatCode="_(* #,##0.0_);_(* \(#,##0.0\);_(* &quot;-&quot;??_);_(@_)" sourceLinked="1"/>
        <c:majorTickMark val="out"/>
        <c:minorTickMark val="none"/>
        <c:tickLblPos val="nextTo"/>
        <c:crossAx val="130278912"/>
        <c:crosses val="autoZero"/>
        <c:crossBetween val="between"/>
      </c:valAx>
    </c:plotArea>
    <c:plotVisOnly val="1"/>
    <c:dispBlanksAs val="gap"/>
    <c:showDLblsOverMax val="0"/>
  </c:chart>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400"/>
            </a:pPr>
            <a:r>
              <a:rPr lang="en-US"/>
              <a:t> Children under 5 years who are underweight (weight-for-age)-2SD (%)</a:t>
            </a:r>
          </a:p>
        </c:rich>
      </c:tx>
      <c:overlay val="0"/>
    </c:title>
    <c:autoTitleDeleted val="0"/>
    <c:plotArea>
      <c:layout/>
      <c:barChart>
        <c:barDir val="col"/>
        <c:grouping val="clustered"/>
        <c:varyColors val="0"/>
        <c:ser>
          <c:idx val="0"/>
          <c:order val="0"/>
          <c:tx>
            <c:strRef>
              <c:f>'Analysis of non HF states1 (2)'!$N$71</c:f>
              <c:strCache>
                <c:ptCount val="1"/>
                <c:pt idx="0">
                  <c:v> Children under 5 years who are underweight (weight-for-age)12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Pt>
            <c:idx val="7"/>
            <c:invertIfNegative val="0"/>
            <c:bubble3D val="0"/>
            <c:spPr>
              <a:solidFill>
                <a:srgbClr val="00B0F0"/>
              </a:solidFill>
            </c:spPr>
          </c:dPt>
          <c:dPt>
            <c:idx val="9"/>
            <c:invertIfNegative val="0"/>
            <c:bubble3D val="0"/>
            <c:spPr>
              <a:solidFill>
                <a:srgbClr val="00B0F0"/>
              </a:solidFill>
            </c:spPr>
          </c:dPt>
          <c:dPt>
            <c:idx val="11"/>
            <c:invertIfNegative val="0"/>
            <c:bubble3D val="0"/>
            <c:spPr>
              <a:solidFill>
                <a:srgbClr val="00B0F0"/>
              </a:solidFill>
            </c:spPr>
          </c:dPt>
          <c:dPt>
            <c:idx val="13"/>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(2)'!$O$69:$AB$70</c:f>
              <c:multiLvlStrCache>
                <c:ptCount val="14"/>
                <c:lvl>
                  <c:pt idx="0">
                    <c:v>NFHS IV (2015-16)</c:v>
                  </c:pt>
                  <c:pt idx="1">
                    <c:v>NFHS III(2005-06)</c:v>
                  </c:pt>
                  <c:pt idx="2">
                    <c:v>NFHS IV (2015-16)</c:v>
                  </c:pt>
                  <c:pt idx="3">
                    <c:v>NFHS III(2005-06)</c:v>
                  </c:pt>
                  <c:pt idx="4">
                    <c:v>NFHS IV (2015-16)</c:v>
                  </c:pt>
                  <c:pt idx="5">
                    <c:v>NFHS III(2005-06)</c:v>
                  </c:pt>
                  <c:pt idx="6">
                    <c:v>NFHS IV (2015-16)</c:v>
                  </c:pt>
                  <c:pt idx="7">
                    <c:v>NFHS III(2005-06)</c:v>
                  </c:pt>
                  <c:pt idx="8">
                    <c:v>NFHS IV (2015-16)</c:v>
                  </c:pt>
                  <c:pt idx="9">
                    <c:v>NFHS III(2005-06)</c:v>
                  </c:pt>
                  <c:pt idx="10">
                    <c:v>NFHS IV (2015-16)</c:v>
                  </c:pt>
                  <c:pt idx="11">
                    <c:v>NFHS III(2005-06)</c:v>
                  </c:pt>
                  <c:pt idx="12">
                    <c:v>NFHS IV (2015-16)</c:v>
                  </c:pt>
                  <c:pt idx="13">
                    <c:v>NFHS III(2005-06)</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(2)'!$O$71:$AB$71</c:f>
              <c:numCache>
                <c:formatCode>General</c:formatCode>
                <c:ptCount val="14"/>
                <c:pt idx="0" formatCode="_(* #,##0.0_);_(* \(#,##0.0\);_(* &quot;-&quot;??_);_(@_)">
                  <c:v>31.9</c:v>
                </c:pt>
                <c:pt idx="2" formatCode="_(* #,##0.0_);_(* \(#,##0.0\);_(* &quot;-&quot;??_);_(@_)">
                  <c:v>29.4</c:v>
                </c:pt>
                <c:pt idx="3" formatCode="_(* #,##0.0_);_(* \(#,##0.0\);_(* &quot;-&quot;??_);_(@_)">
                  <c:v>39.6</c:v>
                </c:pt>
                <c:pt idx="4" formatCode="_(* #,##0.0_);_(* \(#,##0.0\);_(* &quot;-&quot;??_);_(@_)">
                  <c:v>35.200000000000003</c:v>
                </c:pt>
                <c:pt idx="5" formatCode="_(* #,##0.0_);_(* \(#,##0.0\);_(* &quot;-&quot;??_);_(@_)">
                  <c:v>37.6</c:v>
                </c:pt>
                <c:pt idx="6" formatCode="0.0">
                  <c:v>36</c:v>
                </c:pt>
                <c:pt idx="7" formatCode="0.0">
                  <c:v>37</c:v>
                </c:pt>
                <c:pt idx="8" formatCode="_(* #,##0.0_);_(* \(#,##0.0\);_(* &quot;-&quot;??_);_(@_)">
                  <c:v>23.8</c:v>
                </c:pt>
                <c:pt idx="9" formatCode="_(* #,##0.0_);_(* \(#,##0.0\);_(* &quot;-&quot;??_);_(@_)">
                  <c:v>29.8</c:v>
                </c:pt>
                <c:pt idx="10" formatCode="_(* #,##0.0_);_(* \(#,##0.0\);_(* &quot;-&quot;??_);_(@_)">
                  <c:v>28.5</c:v>
                </c:pt>
                <c:pt idx="12" formatCode="_(* #,##0.0_);_(* \(#,##0.0\);_(* &quot;-&quot;??_);_(@_)">
                  <c:v>31.5</c:v>
                </c:pt>
                <c:pt idx="13" formatCode="_(* #,##0.0_);_(* \(#,##0.0\);_(* &quot;-&quot;??_);_(@_)">
                  <c:v>38.700000000000003</c:v>
                </c:pt>
              </c:numCache>
            </c:numRef>
          </c:val>
        </c:ser>
        <c:dLbls>
          <c:showLegendKey val="0"/>
          <c:showVal val="0"/>
          <c:showCatName val="0"/>
          <c:showSerName val="0"/>
          <c:showPercent val="0"/>
          <c:showBubbleSize val="0"/>
        </c:dLbls>
        <c:gapWidth val="150"/>
        <c:axId val="208299520"/>
        <c:axId val="208301056"/>
      </c:barChart>
      <c:catAx>
        <c:axId val="208299520"/>
        <c:scaling>
          <c:orientation val="minMax"/>
        </c:scaling>
        <c:delete val="0"/>
        <c:axPos val="b"/>
        <c:majorTickMark val="out"/>
        <c:minorTickMark val="none"/>
        <c:tickLblPos val="nextTo"/>
        <c:txPr>
          <a:bodyPr/>
          <a:lstStyle/>
          <a:p>
            <a:pPr>
              <a:defRPr b="1"/>
            </a:pPr>
            <a:endParaRPr lang="en-US"/>
          </a:p>
        </c:txPr>
        <c:crossAx val="208301056"/>
        <c:crosses val="autoZero"/>
        <c:auto val="1"/>
        <c:lblAlgn val="ctr"/>
        <c:lblOffset val="100"/>
        <c:noMultiLvlLbl val="0"/>
      </c:catAx>
      <c:valAx>
        <c:axId val="208301056"/>
        <c:scaling>
          <c:orientation val="minMax"/>
        </c:scaling>
        <c:delete val="0"/>
        <c:axPos val="l"/>
        <c:numFmt formatCode="_(* #,##0.0_);_(* \(#,##0.0\);_(* &quot;-&quot;??_);_(@_)" sourceLinked="1"/>
        <c:majorTickMark val="out"/>
        <c:minorTickMark val="none"/>
        <c:tickLblPos val="nextTo"/>
        <c:crossAx val="208299520"/>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600"/>
          </a:pPr>
          <a:endParaRPr lang="en-US"/>
        </a:p>
      </c:txPr>
    </c:title>
    <c:autoTitleDeleted val="0"/>
    <c:plotArea>
      <c:layout/>
      <c:barChart>
        <c:barDir val="col"/>
        <c:grouping val="clustered"/>
        <c:varyColors val="0"/>
        <c:ser>
          <c:idx val="0"/>
          <c:order val="0"/>
          <c:tx>
            <c:strRef>
              <c:f>'Analysis of non HF states1 (2)'!$N$6</c:f>
              <c:strCache>
                <c:ptCount val="1"/>
                <c:pt idx="0">
                  <c:v> Total fertility rate (children per woman)</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Pt>
            <c:idx val="7"/>
            <c:invertIfNegative val="0"/>
            <c:bubble3D val="0"/>
            <c:spPr>
              <a:solidFill>
                <a:srgbClr val="00B0F0"/>
              </a:solidFill>
            </c:spPr>
          </c:dPt>
          <c:dPt>
            <c:idx val="9"/>
            <c:invertIfNegative val="0"/>
            <c:bubble3D val="0"/>
            <c:spPr>
              <a:solidFill>
                <a:srgbClr val="00B0F0"/>
              </a:solidFill>
            </c:spPr>
          </c:dPt>
          <c:dPt>
            <c:idx val="11"/>
            <c:invertIfNegative val="0"/>
            <c:bubble3D val="0"/>
            <c:spPr>
              <a:solidFill>
                <a:srgbClr val="00B0F0"/>
              </a:solidFill>
            </c:spPr>
          </c:dPt>
          <c:dPt>
            <c:idx val="13"/>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(2)'!$O$4:$AB$5</c:f>
              <c:multiLvlStrCache>
                <c:ptCount val="14"/>
                <c:lvl>
                  <c:pt idx="0">
                    <c:v>NFHS IV (2015-16)</c:v>
                  </c:pt>
                  <c:pt idx="1">
                    <c:v>NFHS III(2005-06)</c:v>
                  </c:pt>
                  <c:pt idx="2">
                    <c:v>NFHS IV (2015-16)</c:v>
                  </c:pt>
                  <c:pt idx="3">
                    <c:v>NFHS III(2005-06)</c:v>
                  </c:pt>
                  <c:pt idx="4">
                    <c:v>NFHS IV (2015-16)</c:v>
                  </c:pt>
                  <c:pt idx="5">
                    <c:v>NFHS III(2005-06)</c:v>
                  </c:pt>
                  <c:pt idx="6">
                    <c:v>NFHS IV (2015-16)</c:v>
                  </c:pt>
                  <c:pt idx="7">
                    <c:v>NFHS III(2005-06)</c:v>
                  </c:pt>
                  <c:pt idx="8">
                    <c:v>NFHS IV (2015-16)</c:v>
                  </c:pt>
                  <c:pt idx="9">
                    <c:v>NFHS III(2005-06)</c:v>
                  </c:pt>
                  <c:pt idx="10">
                    <c:v>NFHS IV (2015-16)</c:v>
                  </c:pt>
                  <c:pt idx="11">
                    <c:v>NFHS III(2005-06)</c:v>
                  </c:pt>
                  <c:pt idx="12">
                    <c:v>NFHS IV (2015-16)</c:v>
                  </c:pt>
                  <c:pt idx="13">
                    <c:v>NFHS III(2005-06)</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(2)'!$O$6:$AB$6</c:f>
              <c:numCache>
                <c:formatCode>General</c:formatCode>
                <c:ptCount val="14"/>
                <c:pt idx="0" formatCode="_(* #,##0.0_);_(* \(#,##0.0\);_(* &quot;-&quot;??_);_(@_)">
                  <c:v>1.8</c:v>
                </c:pt>
                <c:pt idx="2" formatCode="_(* #,##0.0_);_(* \(#,##0.0\);_(* &quot;-&quot;??_);_(@_)">
                  <c:v>2.1</c:v>
                </c:pt>
                <c:pt idx="3" formatCode="_(* #,##0.0_);_(* \(#,##0.0\);_(* &quot;-&quot;??_);_(@_)">
                  <c:v>2.7</c:v>
                </c:pt>
                <c:pt idx="4" formatCode="_(* #,##0.0_);_(* \(#,##0.0\);_(* &quot;-&quot;??_);_(@_)">
                  <c:v>1.8</c:v>
                </c:pt>
                <c:pt idx="5" formatCode="_(* #,##0.0_);_(* \(#,##0.0\);_(* &quot;-&quot;??_);_(@_)">
                  <c:v>2.1</c:v>
                </c:pt>
                <c:pt idx="6">
                  <c:v>1.9000000000000001</c:v>
                </c:pt>
                <c:pt idx="7">
                  <c:v>2.1</c:v>
                </c:pt>
                <c:pt idx="8" formatCode="_(* #,##0.0_);_(* \(#,##0.0\);_(* &quot;-&quot;??_);_(@_)">
                  <c:v>1.7</c:v>
                </c:pt>
                <c:pt idx="9" formatCode="_(* #,##0.0_);_(* \(#,##0.0\);_(* &quot;-&quot;??_);_(@_)">
                  <c:v>1.8</c:v>
                </c:pt>
                <c:pt idx="10" formatCode="_(* #,##0.0_);_(* \(#,##0.0\);_(* &quot;-&quot;??_);_(@_)">
                  <c:v>1.8</c:v>
                </c:pt>
                <c:pt idx="12" formatCode="_(* #,##0.0_);_(* \(#,##0.0\);_(* &quot;-&quot;??_);_(@_)">
                  <c:v>1.8</c:v>
                </c:pt>
                <c:pt idx="13" formatCode="_(* #,##0.0_);_(* \(#,##0.0\);_(* &quot;-&quot;??_);_(@_)">
                  <c:v>2.2999999999999998</c:v>
                </c:pt>
              </c:numCache>
            </c:numRef>
          </c:val>
        </c:ser>
        <c:dLbls>
          <c:showLegendKey val="0"/>
          <c:showVal val="0"/>
          <c:showCatName val="0"/>
          <c:showSerName val="0"/>
          <c:showPercent val="0"/>
          <c:showBubbleSize val="0"/>
        </c:dLbls>
        <c:gapWidth val="150"/>
        <c:axId val="129484288"/>
        <c:axId val="129485824"/>
      </c:barChart>
      <c:catAx>
        <c:axId val="129484288"/>
        <c:scaling>
          <c:orientation val="minMax"/>
        </c:scaling>
        <c:delete val="0"/>
        <c:axPos val="b"/>
        <c:majorTickMark val="out"/>
        <c:minorTickMark val="none"/>
        <c:tickLblPos val="nextTo"/>
        <c:txPr>
          <a:bodyPr/>
          <a:lstStyle/>
          <a:p>
            <a:pPr>
              <a:defRPr b="1"/>
            </a:pPr>
            <a:endParaRPr lang="en-US"/>
          </a:p>
        </c:txPr>
        <c:crossAx val="129485824"/>
        <c:crosses val="autoZero"/>
        <c:auto val="1"/>
        <c:lblAlgn val="ctr"/>
        <c:lblOffset val="100"/>
        <c:noMultiLvlLbl val="0"/>
      </c:catAx>
      <c:valAx>
        <c:axId val="129485824"/>
        <c:scaling>
          <c:orientation val="minMax"/>
        </c:scaling>
        <c:delete val="0"/>
        <c:axPos val="l"/>
        <c:numFmt formatCode="_(* #,##0.0_);_(* \(#,##0.0\);_(* &quot;-&quot;??_);_(@_)" sourceLinked="1"/>
        <c:majorTickMark val="out"/>
        <c:minorTickMark val="none"/>
        <c:tickLblPos val="nextTo"/>
        <c:crossAx val="129484288"/>
        <c:crosses val="autoZero"/>
        <c:crossBetween val="between"/>
      </c:valAx>
    </c:plotArea>
    <c:plotVisOnly val="1"/>
    <c:dispBlanksAs val="gap"/>
    <c:showDLblsOverMax val="0"/>
  </c:chart>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'Analysis of non HF states1 (2)'!$N$74</c:f>
              <c:strCache>
                <c:ptCount val="1"/>
                <c:pt idx="0">
                  <c:v>Children age 6-59 months who are anaemic (&lt;11.0 g/dl) (%)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Pt>
            <c:idx val="7"/>
            <c:invertIfNegative val="0"/>
            <c:bubble3D val="0"/>
            <c:spPr>
              <a:solidFill>
                <a:srgbClr val="00B0F0"/>
              </a:solidFill>
            </c:spPr>
          </c:dPt>
          <c:dPt>
            <c:idx val="9"/>
            <c:invertIfNegative val="0"/>
            <c:bubble3D val="0"/>
            <c:spPr>
              <a:solidFill>
                <a:srgbClr val="00B0F0"/>
              </a:solidFill>
            </c:spPr>
          </c:dPt>
          <c:dPt>
            <c:idx val="11"/>
            <c:invertIfNegative val="0"/>
            <c:bubble3D val="0"/>
            <c:spPr>
              <a:solidFill>
                <a:srgbClr val="00B0F0"/>
              </a:solidFill>
            </c:spPr>
          </c:dPt>
          <c:dPt>
            <c:idx val="13"/>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(2)'!$O$72:$AB$73</c:f>
              <c:multiLvlStrCache>
                <c:ptCount val="14"/>
                <c:lvl>
                  <c:pt idx="0">
                    <c:v>NFHS IV (2015-16)</c:v>
                  </c:pt>
                  <c:pt idx="1">
                    <c:v>NFHS III(2005-06)</c:v>
                  </c:pt>
                  <c:pt idx="2">
                    <c:v>NFHS IV (2015-16)</c:v>
                  </c:pt>
                  <c:pt idx="3">
                    <c:v>NFHS III(2005-06)</c:v>
                  </c:pt>
                  <c:pt idx="4">
                    <c:v>NFHS IV (2015-16)</c:v>
                  </c:pt>
                  <c:pt idx="5">
                    <c:v>NFHS III(2005-06)</c:v>
                  </c:pt>
                  <c:pt idx="6">
                    <c:v>NFHS IV (2015-16)</c:v>
                  </c:pt>
                  <c:pt idx="7">
                    <c:v>NFHS III(2005-06)</c:v>
                  </c:pt>
                  <c:pt idx="8">
                    <c:v>NFHS IV (2015-16)</c:v>
                  </c:pt>
                  <c:pt idx="9">
                    <c:v>NFHS III(2005-06)</c:v>
                  </c:pt>
                  <c:pt idx="10">
                    <c:v>NFHS IV (2015-16)</c:v>
                  </c:pt>
                  <c:pt idx="11">
                    <c:v>NFHS III(2005-06)</c:v>
                  </c:pt>
                  <c:pt idx="12">
                    <c:v>NFHS IV (2015-16)</c:v>
                  </c:pt>
                  <c:pt idx="13">
                    <c:v>NFHS III(2005-06)</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(2)'!$O$74:$AB$74</c:f>
              <c:numCache>
                <c:formatCode>General</c:formatCode>
                <c:ptCount val="14"/>
                <c:pt idx="0" formatCode="_(* #,##0.0_);_(* \(#,##0.0\);_(* &quot;-&quot;??_);_(@_)">
                  <c:v>58.6</c:v>
                </c:pt>
                <c:pt idx="2" formatCode="_(* #,##0.0_);_(* \(#,##0.0\);_(* &quot;-&quot;??_);_(@_)">
                  <c:v>71.7</c:v>
                </c:pt>
                <c:pt idx="3" formatCode="_(* #,##0.0_);_(* \(#,##0.0\);_(* &quot;-&quot;??_);_(@_)">
                  <c:v>72.3</c:v>
                </c:pt>
                <c:pt idx="4" formatCode="_(* #,##0.0_);_(* \(#,##0.0\);_(* &quot;-&quot;??_);_(@_)">
                  <c:v>60.9</c:v>
                </c:pt>
                <c:pt idx="5" formatCode="_(* #,##0.0_);_(* \(#,##0.0\);_(* &quot;-&quot;??_);_(@_)">
                  <c:v>70.3</c:v>
                </c:pt>
                <c:pt idx="6">
                  <c:v>53.8</c:v>
                </c:pt>
                <c:pt idx="7">
                  <c:v>63.4</c:v>
                </c:pt>
                <c:pt idx="8" formatCode="_(* #,##0.0_);_(* \(#,##0.0\);_(* &quot;-&quot;??_);_(@_)">
                  <c:v>50.7</c:v>
                </c:pt>
                <c:pt idx="9" formatCode="_(* #,##0.0_);_(* \(#,##0.0\);_(* &quot;-&quot;??_);_(@_)">
                  <c:v>64.2</c:v>
                </c:pt>
                <c:pt idx="10" formatCode="_(* #,##0.0_);_(* \(#,##0.0\);_(* &quot;-&quot;??_);_(@_)">
                  <c:v>60.7</c:v>
                </c:pt>
                <c:pt idx="12" formatCode="_(* #,##0.0_);_(* \(#,##0.0\);_(* &quot;-&quot;??_);_(@_)">
                  <c:v>54.2</c:v>
                </c:pt>
                <c:pt idx="13" formatCode="_(* #,##0.0_);_(* \(#,##0.0\);_(* &quot;-&quot;??_);_(@_)">
                  <c:v>61</c:v>
                </c:pt>
              </c:numCache>
            </c:numRef>
          </c:val>
        </c:ser>
        <c:dLbls>
          <c:showLegendKey val="0"/>
          <c:showVal val="0"/>
          <c:showCatName val="0"/>
          <c:showSerName val="0"/>
          <c:showPercent val="0"/>
          <c:showBubbleSize val="0"/>
        </c:dLbls>
        <c:gapWidth val="150"/>
        <c:axId val="208349056"/>
        <c:axId val="208350592"/>
      </c:barChart>
      <c:catAx>
        <c:axId val="208349056"/>
        <c:scaling>
          <c:orientation val="minMax"/>
        </c:scaling>
        <c:delete val="0"/>
        <c:axPos val="b"/>
        <c:majorTickMark val="out"/>
        <c:minorTickMark val="none"/>
        <c:tickLblPos val="nextTo"/>
        <c:txPr>
          <a:bodyPr/>
          <a:lstStyle/>
          <a:p>
            <a:pPr>
              <a:defRPr b="1"/>
            </a:pPr>
            <a:endParaRPr lang="en-US"/>
          </a:p>
        </c:txPr>
        <c:crossAx val="208350592"/>
        <c:crosses val="autoZero"/>
        <c:auto val="1"/>
        <c:lblAlgn val="ctr"/>
        <c:lblOffset val="100"/>
        <c:noMultiLvlLbl val="0"/>
      </c:catAx>
      <c:valAx>
        <c:axId val="208350592"/>
        <c:scaling>
          <c:orientation val="minMax"/>
        </c:scaling>
        <c:delete val="0"/>
        <c:axPos val="l"/>
        <c:numFmt formatCode="_(* #,##0.0_);_(* \(#,##0.0\);_(* &quot;-&quot;??_);_(@_)" sourceLinked="1"/>
        <c:majorTickMark val="out"/>
        <c:minorTickMark val="none"/>
        <c:tickLblPos val="nextTo"/>
        <c:crossAx val="208349056"/>
        <c:crosses val="autoZero"/>
        <c:crossBetween val="between"/>
      </c:valAx>
    </c:plotArea>
    <c:plotVisOnly val="1"/>
    <c:dispBlanksAs val="gap"/>
    <c:showDLblsOverMax val="0"/>
  </c:chart>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'Analysis of non HF states1 (2)'!$N$77</c:f>
              <c:strCache>
                <c:ptCount val="1"/>
                <c:pt idx="0">
                  <c:v>All women age 15-49 years who are anaemic (%)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Pt>
            <c:idx val="7"/>
            <c:invertIfNegative val="0"/>
            <c:bubble3D val="0"/>
            <c:spPr>
              <a:solidFill>
                <a:srgbClr val="00B0F0"/>
              </a:solidFill>
            </c:spPr>
          </c:dPt>
          <c:dPt>
            <c:idx val="9"/>
            <c:invertIfNegative val="0"/>
            <c:bubble3D val="0"/>
            <c:spPr>
              <a:solidFill>
                <a:srgbClr val="00B0F0"/>
              </a:solidFill>
            </c:spPr>
          </c:dPt>
          <c:dPt>
            <c:idx val="11"/>
            <c:invertIfNegative val="0"/>
            <c:bubble3D val="0"/>
            <c:spPr>
              <a:solidFill>
                <a:srgbClr val="00B0F0"/>
              </a:solidFill>
            </c:spPr>
          </c:dPt>
          <c:dPt>
            <c:idx val="13"/>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(2)'!$O$75:$AB$76</c:f>
              <c:multiLvlStrCache>
                <c:ptCount val="14"/>
                <c:lvl>
                  <c:pt idx="0">
                    <c:v>NFHS IV (2015-16)</c:v>
                  </c:pt>
                  <c:pt idx="1">
                    <c:v>NFHS III(2005-06)</c:v>
                  </c:pt>
                  <c:pt idx="2">
                    <c:v>NFHS IV (2015-16)</c:v>
                  </c:pt>
                  <c:pt idx="3">
                    <c:v>NFHS III(2005-06)</c:v>
                  </c:pt>
                  <c:pt idx="4">
                    <c:v>NFHS IV (2015-16)</c:v>
                  </c:pt>
                  <c:pt idx="5">
                    <c:v>NFHS III(2005-06)</c:v>
                  </c:pt>
                  <c:pt idx="6">
                    <c:v>NFHS IV (2015-16)</c:v>
                  </c:pt>
                  <c:pt idx="7">
                    <c:v>NFHS III(2005-06)</c:v>
                  </c:pt>
                  <c:pt idx="8">
                    <c:v>NFHS IV (2015-16)</c:v>
                  </c:pt>
                  <c:pt idx="9">
                    <c:v>NFHS III(2005-06)</c:v>
                  </c:pt>
                  <c:pt idx="10">
                    <c:v>NFHS IV (2015-16)</c:v>
                  </c:pt>
                  <c:pt idx="11">
                    <c:v>NFHS III(2005-06)</c:v>
                  </c:pt>
                  <c:pt idx="12">
                    <c:v>NFHS IV (2015-16)</c:v>
                  </c:pt>
                  <c:pt idx="13">
                    <c:v>NFHS III(2005-06)</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(2)'!$O$77:$AB$77</c:f>
              <c:numCache>
                <c:formatCode>General</c:formatCode>
                <c:ptCount val="14"/>
                <c:pt idx="0" formatCode="_(* #,##0.0_);_(* \(#,##0.0\);_(* &quot;-&quot;??_);_(@_)">
                  <c:v>60</c:v>
                </c:pt>
                <c:pt idx="2" formatCode="_(* #,##0.0_);_(* \(#,##0.0\);_(* &quot;-&quot;??_);_(@_)">
                  <c:v>62.7</c:v>
                </c:pt>
                <c:pt idx="3" formatCode="_(* #,##0.0_);_(* \(#,##0.0\);_(* &quot;-&quot;??_);_(@_)">
                  <c:v>56.1</c:v>
                </c:pt>
                <c:pt idx="4" formatCode="_(* #,##0.0_);_(* \(#,##0.0\);_(* &quot;-&quot;??_);_(@_)">
                  <c:v>44.8</c:v>
                </c:pt>
                <c:pt idx="5" formatCode="_(* #,##0.0_);_(* \(#,##0.0\);_(* &quot;-&quot;??_);_(@_)">
                  <c:v>51.2</c:v>
                </c:pt>
                <c:pt idx="6">
                  <c:v>48</c:v>
                </c:pt>
                <c:pt idx="7">
                  <c:v>48.4</c:v>
                </c:pt>
                <c:pt idx="8" formatCode="_(* #,##0.0_);_(* \(#,##0.0\);_(* &quot;-&quot;??_);_(@_)">
                  <c:v>55.1</c:v>
                </c:pt>
                <c:pt idx="9" formatCode="_(* #,##0.0_);_(* \(#,##0.0\);_(* &quot;-&quot;??_);_(@_)">
                  <c:v>53.2</c:v>
                </c:pt>
                <c:pt idx="10" formatCode="_(* #,##0.0_);_(* \(#,##0.0\);_(* &quot;-&quot;??_);_(@_)">
                  <c:v>56.7</c:v>
                </c:pt>
                <c:pt idx="12" formatCode="_(* #,##0.0_);_(* \(#,##0.0\);_(* &quot;-&quot;??_);_(@_)">
                  <c:v>62.5</c:v>
                </c:pt>
                <c:pt idx="13" formatCode="_(* #,##0.0_);_(* \(#,##0.0\);_(* &quot;-&quot;??_);_(@_)">
                  <c:v>63.2</c:v>
                </c:pt>
              </c:numCache>
            </c:numRef>
          </c:val>
        </c:ser>
        <c:dLbls>
          <c:showLegendKey val="0"/>
          <c:showVal val="0"/>
          <c:showCatName val="0"/>
          <c:showSerName val="0"/>
          <c:showPercent val="0"/>
          <c:showBubbleSize val="0"/>
        </c:dLbls>
        <c:gapWidth val="150"/>
        <c:axId val="208369920"/>
        <c:axId val="208379904"/>
      </c:barChart>
      <c:catAx>
        <c:axId val="208369920"/>
        <c:scaling>
          <c:orientation val="minMax"/>
        </c:scaling>
        <c:delete val="0"/>
        <c:axPos val="b"/>
        <c:majorTickMark val="out"/>
        <c:minorTickMark val="none"/>
        <c:tickLblPos val="nextTo"/>
        <c:txPr>
          <a:bodyPr/>
          <a:lstStyle/>
          <a:p>
            <a:pPr>
              <a:defRPr b="1"/>
            </a:pPr>
            <a:endParaRPr lang="en-US"/>
          </a:p>
        </c:txPr>
        <c:crossAx val="208379904"/>
        <c:crosses val="autoZero"/>
        <c:auto val="1"/>
        <c:lblAlgn val="ctr"/>
        <c:lblOffset val="100"/>
        <c:noMultiLvlLbl val="0"/>
      </c:catAx>
      <c:valAx>
        <c:axId val="208379904"/>
        <c:scaling>
          <c:orientation val="minMax"/>
        </c:scaling>
        <c:delete val="0"/>
        <c:axPos val="l"/>
        <c:numFmt formatCode="_(* #,##0.0_);_(* \(#,##0.0\);_(* &quot;-&quot;??_);_(@_)" sourceLinked="1"/>
        <c:majorTickMark val="out"/>
        <c:minorTickMark val="none"/>
        <c:tickLblPos val="nextTo"/>
        <c:crossAx val="208369920"/>
        <c:crosses val="autoZero"/>
        <c:crossBetween val="between"/>
      </c:valAx>
    </c:plotArea>
    <c:plotVisOnly val="1"/>
    <c:dispBlanksAs val="gap"/>
    <c:showDLblsOverMax val="0"/>
  </c:chart>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'Analysis of non HF states1 (2)'!$N$80</c:f>
              <c:strCache>
                <c:ptCount val="1"/>
                <c:pt idx="0">
                  <c:v>Men age 15-49 years who are anaemic (&lt;13.0 g/dl) (%)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Pt>
            <c:idx val="7"/>
            <c:invertIfNegative val="0"/>
            <c:bubble3D val="0"/>
            <c:spPr>
              <a:solidFill>
                <a:srgbClr val="00B0F0"/>
              </a:solidFill>
            </c:spPr>
          </c:dPt>
          <c:dPt>
            <c:idx val="9"/>
            <c:invertIfNegative val="0"/>
            <c:bubble3D val="0"/>
            <c:spPr>
              <a:solidFill>
                <a:srgbClr val="00B0F0"/>
              </a:solidFill>
            </c:spPr>
          </c:dPt>
          <c:dPt>
            <c:idx val="11"/>
            <c:invertIfNegative val="0"/>
            <c:bubble3D val="0"/>
            <c:spPr>
              <a:solidFill>
                <a:srgbClr val="00B0F0"/>
              </a:solidFill>
            </c:spPr>
          </c:dPt>
          <c:dPt>
            <c:idx val="13"/>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(2)'!$O$78:$AB$79</c:f>
              <c:multiLvlStrCache>
                <c:ptCount val="14"/>
                <c:lvl>
                  <c:pt idx="0">
                    <c:v>NFHS IV (2015-16)</c:v>
                  </c:pt>
                  <c:pt idx="1">
                    <c:v>NFHS III(2005-06)</c:v>
                  </c:pt>
                  <c:pt idx="2">
                    <c:v>NFHS IV (2015-16)</c:v>
                  </c:pt>
                  <c:pt idx="3">
                    <c:v>NFHS III(2005-06)</c:v>
                  </c:pt>
                  <c:pt idx="4">
                    <c:v>NFHS IV (2015-16)</c:v>
                  </c:pt>
                  <c:pt idx="5">
                    <c:v>NFHS III(2005-06)</c:v>
                  </c:pt>
                  <c:pt idx="6">
                    <c:v>NFHS IV (2015-16)</c:v>
                  </c:pt>
                  <c:pt idx="7">
                    <c:v>NFHS III(2005-06)</c:v>
                  </c:pt>
                  <c:pt idx="8">
                    <c:v>NFHS IV (2015-16)</c:v>
                  </c:pt>
                  <c:pt idx="9">
                    <c:v>NFHS III(2005-06)</c:v>
                  </c:pt>
                  <c:pt idx="10">
                    <c:v>NFHS IV (2015-16)</c:v>
                  </c:pt>
                  <c:pt idx="11">
                    <c:v>NFHS III(2005-06)</c:v>
                  </c:pt>
                  <c:pt idx="12">
                    <c:v>NFHS IV (2015-16)</c:v>
                  </c:pt>
                  <c:pt idx="13">
                    <c:v>NFHS III(2005-06)</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(2)'!$O$80:$AB$80</c:f>
              <c:numCache>
                <c:formatCode>General</c:formatCode>
                <c:ptCount val="14"/>
                <c:pt idx="0" formatCode="_(* #,##0.0_);_(* \(#,##0.0\);_(* &quot;-&quot;??_);_(@_)">
                  <c:v>26.9</c:v>
                </c:pt>
                <c:pt idx="2" formatCode="_(* #,##0.0_);_(* \(#,##0.0\);_(* &quot;-&quot;??_);_(@_)">
                  <c:v>20.9</c:v>
                </c:pt>
                <c:pt idx="3" formatCode="_(* #,##0.0_);_(* \(#,##0.0\);_(* &quot;-&quot;??_);_(@_)">
                  <c:v>19.2</c:v>
                </c:pt>
                <c:pt idx="4" formatCode="_(* #,##0.0_);_(* \(#,##0.0\);_(* &quot;-&quot;??_);_(@_)">
                  <c:v>18.2</c:v>
                </c:pt>
                <c:pt idx="5" formatCode="_(* #,##0.0_);_(* \(#,##0.0\);_(* &quot;-&quot;??_);_(@_)">
                  <c:v>19</c:v>
                </c:pt>
                <c:pt idx="6">
                  <c:v>17.600000000000001</c:v>
                </c:pt>
                <c:pt idx="7">
                  <c:v>16.8</c:v>
                </c:pt>
                <c:pt idx="8" formatCode="_(* #,##0.0_);_(* \(#,##0.0\);_(* &quot;-&quot;??_);_(@_)">
                  <c:v>20.399999999999999</c:v>
                </c:pt>
                <c:pt idx="9" formatCode="_(* #,##0.0_);_(* \(#,##0.0\);_(* &quot;-&quot;??_);_(@_)">
                  <c:v>16.600000000000001</c:v>
                </c:pt>
                <c:pt idx="10" formatCode="_(* #,##0.0_);_(* \(#,##0.0\);_(* &quot;-&quot;??_);_(@_)">
                  <c:v>15.4</c:v>
                </c:pt>
                <c:pt idx="12" formatCode="_(* #,##0.0_);_(* \(#,##0.0\);_(* &quot;-&quot;??_);_(@_)">
                  <c:v>30.3</c:v>
                </c:pt>
                <c:pt idx="13" formatCode="_(* #,##0.0_);_(* \(#,##0.0\);_(* &quot;-&quot;??_);_(@_)">
                  <c:v>32.300000000000004</c:v>
                </c:pt>
              </c:numCache>
            </c:numRef>
          </c:val>
        </c:ser>
        <c:dLbls>
          <c:showLegendKey val="0"/>
          <c:showVal val="0"/>
          <c:showCatName val="0"/>
          <c:showSerName val="0"/>
          <c:showPercent val="0"/>
          <c:showBubbleSize val="0"/>
        </c:dLbls>
        <c:gapWidth val="150"/>
        <c:axId val="208476800"/>
        <c:axId val="208486784"/>
      </c:barChart>
      <c:catAx>
        <c:axId val="208476800"/>
        <c:scaling>
          <c:orientation val="minMax"/>
        </c:scaling>
        <c:delete val="0"/>
        <c:axPos val="b"/>
        <c:majorTickMark val="out"/>
        <c:minorTickMark val="none"/>
        <c:tickLblPos val="nextTo"/>
        <c:txPr>
          <a:bodyPr/>
          <a:lstStyle/>
          <a:p>
            <a:pPr>
              <a:defRPr b="1"/>
            </a:pPr>
            <a:endParaRPr lang="en-US"/>
          </a:p>
        </c:txPr>
        <c:crossAx val="208486784"/>
        <c:crosses val="autoZero"/>
        <c:auto val="1"/>
        <c:lblAlgn val="ctr"/>
        <c:lblOffset val="100"/>
        <c:noMultiLvlLbl val="0"/>
      </c:catAx>
      <c:valAx>
        <c:axId val="208486784"/>
        <c:scaling>
          <c:orientation val="minMax"/>
        </c:scaling>
        <c:delete val="0"/>
        <c:axPos val="l"/>
        <c:numFmt formatCode="_(* #,##0.0_);_(* \(#,##0.0\);_(* &quot;-&quot;??_);_(@_)" sourceLinked="1"/>
        <c:majorTickMark val="out"/>
        <c:minorTickMark val="none"/>
        <c:tickLblPos val="nextTo"/>
        <c:crossAx val="208476800"/>
        <c:crosses val="autoZero"/>
        <c:crossBetween val="between"/>
      </c:valAx>
    </c:plotArea>
    <c:plotVisOnly val="1"/>
    <c:dispBlanksAs val="gap"/>
    <c:showDLblsOverMax val="0"/>
  </c:chart>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'Analysis of non HF states1 (2)'!$N$83</c:f>
              <c:strCache>
                <c:ptCount val="1"/>
                <c:pt idx="0">
                  <c:v>Blood Sugar Level among Adults (age 15-49 years) - Blood sugar level - high (&gt;140 mg/dl) (%)  - NFHS IV</c:v>
                </c:pt>
              </c:strCache>
            </c:strRef>
          </c:tx>
          <c:spPr>
            <a:solidFill>
              <a:srgbClr val="FF33CC"/>
            </a:solidFill>
          </c:spPr>
          <c:invertIfNegative val="0"/>
          <c:dPt>
            <c:idx val="1"/>
            <c:invertIfNegative val="0"/>
            <c:bubble3D val="0"/>
            <c:spPr>
              <a:solidFill>
                <a:schemeClr val="tx2">
                  <a:lumMod val="75000"/>
                </a:schemeClr>
              </a:solidFill>
            </c:spPr>
          </c:dPt>
          <c:dPt>
            <c:idx val="3"/>
            <c:invertIfNegative val="0"/>
            <c:bubble3D val="0"/>
            <c:spPr>
              <a:solidFill>
                <a:schemeClr val="tx2">
                  <a:lumMod val="75000"/>
                </a:schemeClr>
              </a:solidFill>
            </c:spPr>
          </c:dPt>
          <c:dPt>
            <c:idx val="5"/>
            <c:invertIfNegative val="0"/>
            <c:bubble3D val="0"/>
            <c:spPr>
              <a:solidFill>
                <a:schemeClr val="tx2">
                  <a:lumMod val="75000"/>
                </a:schemeClr>
              </a:solidFill>
            </c:spPr>
          </c:dPt>
          <c:dPt>
            <c:idx val="7"/>
            <c:invertIfNegative val="0"/>
            <c:bubble3D val="0"/>
            <c:spPr>
              <a:solidFill>
                <a:schemeClr val="tx2">
                  <a:lumMod val="75000"/>
                </a:schemeClr>
              </a:solidFill>
            </c:spPr>
          </c:dPt>
          <c:dPt>
            <c:idx val="9"/>
            <c:invertIfNegative val="0"/>
            <c:bubble3D val="0"/>
            <c:spPr>
              <a:solidFill>
                <a:schemeClr val="tx2">
                  <a:lumMod val="75000"/>
                </a:schemeClr>
              </a:solidFill>
            </c:spPr>
          </c:dPt>
          <c:dPt>
            <c:idx val="11"/>
            <c:invertIfNegative val="0"/>
            <c:bubble3D val="0"/>
            <c:spPr>
              <a:solidFill>
                <a:schemeClr val="tx2">
                  <a:lumMod val="75000"/>
                </a:schemeClr>
              </a:solidFill>
            </c:spPr>
          </c:dPt>
          <c:dPt>
            <c:idx val="13"/>
            <c:invertIfNegative val="0"/>
            <c:bubble3D val="0"/>
            <c:spPr>
              <a:solidFill>
                <a:srgbClr val="00206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(2)'!$O$81:$AB$82</c:f>
              <c:multiLvlStrCache>
                <c:ptCount val="14"/>
                <c:lvl>
                  <c:pt idx="0">
                    <c:v>Women</c:v>
                  </c:pt>
                  <c:pt idx="1">
                    <c:v>Men</c:v>
                  </c:pt>
                  <c:pt idx="2">
                    <c:v>Women</c:v>
                  </c:pt>
                  <c:pt idx="3">
                    <c:v>Men</c:v>
                  </c:pt>
                  <c:pt idx="4">
                    <c:v>Women</c:v>
                  </c:pt>
                  <c:pt idx="5">
                    <c:v>Men</c:v>
                  </c:pt>
                  <c:pt idx="6">
                    <c:v>Women</c:v>
                  </c:pt>
                  <c:pt idx="7">
                    <c:v>Men</c:v>
                  </c:pt>
                  <c:pt idx="8">
                    <c:v>Women</c:v>
                  </c:pt>
                  <c:pt idx="9">
                    <c:v>Men</c:v>
                  </c:pt>
                  <c:pt idx="10">
                    <c:v>Women</c:v>
                  </c:pt>
                  <c:pt idx="11">
                    <c:v>Men</c:v>
                  </c:pt>
                  <c:pt idx="12">
                    <c:v>Women</c:v>
                  </c:pt>
                  <c:pt idx="13">
                    <c:v>Men</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(2)'!$O$83:$AB$83</c:f>
              <c:numCache>
                <c:formatCode>_(* #,##0.0_);_(* \(#,##0.0\);_(* "-"??_);_(@_)</c:formatCode>
                <c:ptCount val="14"/>
                <c:pt idx="0">
                  <c:v>8.2000000000000011</c:v>
                </c:pt>
                <c:pt idx="1">
                  <c:v>9.8000000000000007</c:v>
                </c:pt>
                <c:pt idx="2">
                  <c:v>4.8</c:v>
                </c:pt>
                <c:pt idx="3">
                  <c:v>6.1</c:v>
                </c:pt>
                <c:pt idx="4">
                  <c:v>6.3</c:v>
                </c:pt>
                <c:pt idx="5">
                  <c:v>8.4</c:v>
                </c:pt>
                <c:pt idx="6">
                  <c:v>5</c:v>
                </c:pt>
                <c:pt idx="7">
                  <c:v>5.9</c:v>
                </c:pt>
                <c:pt idx="8">
                  <c:v>7.1</c:v>
                </c:pt>
                <c:pt idx="9">
                  <c:v>9.7000000000000011</c:v>
                </c:pt>
                <c:pt idx="10">
                  <c:v>6.8</c:v>
                </c:pt>
                <c:pt idx="11">
                  <c:v>6</c:v>
                </c:pt>
                <c:pt idx="12">
                  <c:v>7.4</c:v>
                </c:pt>
                <c:pt idx="13">
                  <c:v>11.4</c:v>
                </c:pt>
              </c:numCache>
            </c:numRef>
          </c:val>
        </c:ser>
        <c:dLbls>
          <c:showLegendKey val="0"/>
          <c:showVal val="0"/>
          <c:showCatName val="0"/>
          <c:showSerName val="0"/>
          <c:showPercent val="0"/>
          <c:showBubbleSize val="0"/>
        </c:dLbls>
        <c:gapWidth val="150"/>
        <c:axId val="208522240"/>
        <c:axId val="208528128"/>
      </c:barChart>
      <c:catAx>
        <c:axId val="208522240"/>
        <c:scaling>
          <c:orientation val="minMax"/>
        </c:scaling>
        <c:delete val="0"/>
        <c:axPos val="b"/>
        <c:majorTickMark val="out"/>
        <c:minorTickMark val="none"/>
        <c:tickLblPos val="nextTo"/>
        <c:txPr>
          <a:bodyPr/>
          <a:lstStyle/>
          <a:p>
            <a:pPr>
              <a:defRPr b="1"/>
            </a:pPr>
            <a:endParaRPr lang="en-US"/>
          </a:p>
        </c:txPr>
        <c:crossAx val="208528128"/>
        <c:crosses val="autoZero"/>
        <c:auto val="1"/>
        <c:lblAlgn val="ctr"/>
        <c:lblOffset val="100"/>
        <c:noMultiLvlLbl val="0"/>
      </c:catAx>
      <c:valAx>
        <c:axId val="208528128"/>
        <c:scaling>
          <c:orientation val="minMax"/>
        </c:scaling>
        <c:delete val="0"/>
        <c:axPos val="l"/>
        <c:numFmt formatCode="_(* #,##0.0_);_(* \(#,##0.0\);_(* &quot;-&quot;??_);_(@_)" sourceLinked="1"/>
        <c:majorTickMark val="out"/>
        <c:minorTickMark val="none"/>
        <c:tickLblPos val="nextTo"/>
        <c:crossAx val="208522240"/>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'Analysis of non HF states1 (2)'!$N$86</c:f>
              <c:strCache>
                <c:ptCount val="1"/>
                <c:pt idx="0">
                  <c:v>Blood Sugar Level among Adults (age 15-49 years) -Blood sugar level - very high (&gt;160 mg/dl) (%)  - NFHS IV</c:v>
                </c:pt>
              </c:strCache>
            </c:strRef>
          </c:tx>
          <c:spPr>
            <a:solidFill>
              <a:srgbClr val="FF33CC"/>
            </a:solidFill>
          </c:spPr>
          <c:invertIfNegative val="0"/>
          <c:dPt>
            <c:idx val="1"/>
            <c:invertIfNegative val="0"/>
            <c:bubble3D val="0"/>
            <c:spPr>
              <a:solidFill>
                <a:schemeClr val="tx2">
                  <a:lumMod val="75000"/>
                </a:schemeClr>
              </a:solidFill>
            </c:spPr>
          </c:dPt>
          <c:dPt>
            <c:idx val="3"/>
            <c:invertIfNegative val="0"/>
            <c:bubble3D val="0"/>
            <c:spPr>
              <a:solidFill>
                <a:schemeClr val="tx2">
                  <a:lumMod val="75000"/>
                </a:schemeClr>
              </a:solidFill>
            </c:spPr>
          </c:dPt>
          <c:dPt>
            <c:idx val="5"/>
            <c:invertIfNegative val="0"/>
            <c:bubble3D val="0"/>
            <c:spPr>
              <a:solidFill>
                <a:schemeClr val="tx2">
                  <a:lumMod val="75000"/>
                </a:schemeClr>
              </a:solidFill>
            </c:spPr>
          </c:dPt>
          <c:dPt>
            <c:idx val="7"/>
            <c:invertIfNegative val="0"/>
            <c:bubble3D val="0"/>
            <c:spPr>
              <a:solidFill>
                <a:schemeClr val="tx2">
                  <a:lumMod val="75000"/>
                </a:schemeClr>
              </a:solidFill>
            </c:spPr>
          </c:dPt>
          <c:dPt>
            <c:idx val="9"/>
            <c:invertIfNegative val="0"/>
            <c:bubble3D val="0"/>
            <c:spPr>
              <a:solidFill>
                <a:schemeClr val="tx2">
                  <a:lumMod val="75000"/>
                </a:schemeClr>
              </a:solidFill>
            </c:spPr>
          </c:dPt>
          <c:dPt>
            <c:idx val="11"/>
            <c:invertIfNegative val="0"/>
            <c:bubble3D val="0"/>
            <c:spPr>
              <a:solidFill>
                <a:schemeClr val="tx2">
                  <a:lumMod val="75000"/>
                </a:schemeClr>
              </a:solidFill>
            </c:spPr>
          </c:dPt>
          <c:dPt>
            <c:idx val="13"/>
            <c:invertIfNegative val="0"/>
            <c:bubble3D val="0"/>
            <c:spPr>
              <a:solidFill>
                <a:srgbClr val="00206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(2)'!$O$84:$AB$85</c:f>
              <c:multiLvlStrCache>
                <c:ptCount val="14"/>
                <c:lvl>
                  <c:pt idx="0">
                    <c:v>Women</c:v>
                  </c:pt>
                  <c:pt idx="1">
                    <c:v>Men</c:v>
                  </c:pt>
                  <c:pt idx="2">
                    <c:v>Women</c:v>
                  </c:pt>
                  <c:pt idx="3">
                    <c:v>Men</c:v>
                  </c:pt>
                  <c:pt idx="4">
                    <c:v>Women</c:v>
                  </c:pt>
                  <c:pt idx="5">
                    <c:v>Men</c:v>
                  </c:pt>
                  <c:pt idx="6">
                    <c:v>Women</c:v>
                  </c:pt>
                  <c:pt idx="7">
                    <c:v>Men</c:v>
                  </c:pt>
                  <c:pt idx="8">
                    <c:v>Women</c:v>
                  </c:pt>
                  <c:pt idx="9">
                    <c:v>Men</c:v>
                  </c:pt>
                  <c:pt idx="10">
                    <c:v>Women</c:v>
                  </c:pt>
                  <c:pt idx="11">
                    <c:v>Men</c:v>
                  </c:pt>
                  <c:pt idx="12">
                    <c:v>Women</c:v>
                  </c:pt>
                  <c:pt idx="13">
                    <c:v>Men</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(2)'!$O$86:$AB$86</c:f>
              <c:numCache>
                <c:formatCode>_(* #,##0.0_);_(* \(#,##0.0\);_(* "-"??_);_(@_)</c:formatCode>
                <c:ptCount val="14"/>
                <c:pt idx="0">
                  <c:v>4.9000000000000004</c:v>
                </c:pt>
                <c:pt idx="1">
                  <c:v>5.9</c:v>
                </c:pt>
                <c:pt idx="2">
                  <c:v>1.8</c:v>
                </c:pt>
                <c:pt idx="3">
                  <c:v>2.1</c:v>
                </c:pt>
                <c:pt idx="4">
                  <c:v>3.2</c:v>
                </c:pt>
                <c:pt idx="5">
                  <c:v>3.7</c:v>
                </c:pt>
                <c:pt idx="6" formatCode="General">
                  <c:v>2.2999999999999998</c:v>
                </c:pt>
                <c:pt idx="7" formatCode="General">
                  <c:v>2.5</c:v>
                </c:pt>
                <c:pt idx="8">
                  <c:v>3.4</c:v>
                </c:pt>
                <c:pt idx="9">
                  <c:v>5.6</c:v>
                </c:pt>
                <c:pt idx="10">
                  <c:v>3.9</c:v>
                </c:pt>
                <c:pt idx="11">
                  <c:v>4.0999999999999996</c:v>
                </c:pt>
                <c:pt idx="12">
                  <c:v>3.5</c:v>
                </c:pt>
                <c:pt idx="13">
                  <c:v>5.9</c:v>
                </c:pt>
              </c:numCache>
            </c:numRef>
          </c:val>
        </c:ser>
        <c:dLbls>
          <c:showLegendKey val="0"/>
          <c:showVal val="0"/>
          <c:showCatName val="0"/>
          <c:showSerName val="0"/>
          <c:showPercent val="0"/>
          <c:showBubbleSize val="0"/>
        </c:dLbls>
        <c:gapWidth val="150"/>
        <c:axId val="208616832"/>
        <c:axId val="208626816"/>
      </c:barChart>
      <c:catAx>
        <c:axId val="208616832"/>
        <c:scaling>
          <c:orientation val="minMax"/>
        </c:scaling>
        <c:delete val="0"/>
        <c:axPos val="b"/>
        <c:majorTickMark val="out"/>
        <c:minorTickMark val="none"/>
        <c:tickLblPos val="nextTo"/>
        <c:txPr>
          <a:bodyPr/>
          <a:lstStyle/>
          <a:p>
            <a:pPr>
              <a:defRPr b="1"/>
            </a:pPr>
            <a:endParaRPr lang="en-US"/>
          </a:p>
        </c:txPr>
        <c:crossAx val="208626816"/>
        <c:crosses val="autoZero"/>
        <c:auto val="1"/>
        <c:lblAlgn val="ctr"/>
        <c:lblOffset val="100"/>
        <c:noMultiLvlLbl val="0"/>
      </c:catAx>
      <c:valAx>
        <c:axId val="208626816"/>
        <c:scaling>
          <c:orientation val="minMax"/>
        </c:scaling>
        <c:delete val="0"/>
        <c:axPos val="l"/>
        <c:numFmt formatCode="_(* #,##0.0_);_(* \(#,##0.0\);_(* &quot;-&quot;??_);_(@_)" sourceLinked="1"/>
        <c:majorTickMark val="out"/>
        <c:minorTickMark val="none"/>
        <c:tickLblPos val="nextTo"/>
        <c:crossAx val="208616832"/>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'Analysis of non HF states1 (2)'!$N$91</c:f>
              <c:strCache>
                <c:ptCount val="1"/>
                <c:pt idx="0">
                  <c:v>Hypertension among Adults (age 15-49 years) - Slightly above normal (Systolic 140-159 mm of Hg and/or Diastolic 90-99 mm of Hg) (%)  - NFHS IV</c:v>
                </c:pt>
              </c:strCache>
            </c:strRef>
          </c:tx>
          <c:spPr>
            <a:solidFill>
              <a:srgbClr val="FF33CC"/>
            </a:solidFill>
          </c:spPr>
          <c:invertIfNegative val="0"/>
          <c:dPt>
            <c:idx val="1"/>
            <c:invertIfNegative val="0"/>
            <c:bubble3D val="0"/>
            <c:spPr>
              <a:solidFill>
                <a:schemeClr val="tx2">
                  <a:lumMod val="75000"/>
                </a:schemeClr>
              </a:solidFill>
            </c:spPr>
          </c:dPt>
          <c:dPt>
            <c:idx val="3"/>
            <c:invertIfNegative val="0"/>
            <c:bubble3D val="0"/>
            <c:spPr>
              <a:solidFill>
                <a:schemeClr val="tx2">
                  <a:lumMod val="75000"/>
                </a:schemeClr>
              </a:solidFill>
            </c:spPr>
          </c:dPt>
          <c:dPt>
            <c:idx val="5"/>
            <c:invertIfNegative val="0"/>
            <c:bubble3D val="0"/>
            <c:spPr>
              <a:solidFill>
                <a:schemeClr val="tx2">
                  <a:lumMod val="75000"/>
                </a:schemeClr>
              </a:solidFill>
            </c:spPr>
          </c:dPt>
          <c:dPt>
            <c:idx val="7"/>
            <c:invertIfNegative val="0"/>
            <c:bubble3D val="0"/>
            <c:spPr>
              <a:solidFill>
                <a:schemeClr val="tx2">
                  <a:lumMod val="75000"/>
                </a:schemeClr>
              </a:solidFill>
            </c:spPr>
          </c:dPt>
          <c:dPt>
            <c:idx val="9"/>
            <c:invertIfNegative val="0"/>
            <c:bubble3D val="0"/>
            <c:spPr>
              <a:solidFill>
                <a:schemeClr val="tx2">
                  <a:lumMod val="75000"/>
                </a:schemeClr>
              </a:solidFill>
            </c:spPr>
          </c:dPt>
          <c:dPt>
            <c:idx val="11"/>
            <c:invertIfNegative val="0"/>
            <c:bubble3D val="0"/>
            <c:spPr>
              <a:solidFill>
                <a:schemeClr val="tx2">
                  <a:lumMod val="75000"/>
                </a:schemeClr>
              </a:solidFill>
            </c:spPr>
          </c:dPt>
          <c:dPt>
            <c:idx val="13"/>
            <c:invertIfNegative val="0"/>
            <c:bubble3D val="0"/>
            <c:spPr>
              <a:solidFill>
                <a:srgbClr val="00206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(2)'!$O$89:$AB$90</c:f>
              <c:multiLvlStrCache>
                <c:ptCount val="14"/>
                <c:lvl>
                  <c:pt idx="0">
                    <c:v>Women</c:v>
                  </c:pt>
                  <c:pt idx="1">
                    <c:v>Men</c:v>
                  </c:pt>
                  <c:pt idx="2">
                    <c:v>Women</c:v>
                  </c:pt>
                  <c:pt idx="3">
                    <c:v>Men</c:v>
                  </c:pt>
                  <c:pt idx="4">
                    <c:v>Women</c:v>
                  </c:pt>
                  <c:pt idx="5">
                    <c:v>Men</c:v>
                  </c:pt>
                  <c:pt idx="6">
                    <c:v>Women</c:v>
                  </c:pt>
                  <c:pt idx="7">
                    <c:v>Men</c:v>
                  </c:pt>
                  <c:pt idx="8">
                    <c:v>Women</c:v>
                  </c:pt>
                  <c:pt idx="9">
                    <c:v>Men</c:v>
                  </c:pt>
                  <c:pt idx="10">
                    <c:v>Women</c:v>
                  </c:pt>
                  <c:pt idx="11">
                    <c:v>Men</c:v>
                  </c:pt>
                  <c:pt idx="12">
                    <c:v>Women</c:v>
                  </c:pt>
                  <c:pt idx="13">
                    <c:v>Men</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(2)'!$O$91:$AB$91</c:f>
              <c:numCache>
                <c:formatCode>_(* #,##0.0_);_(* \(#,##0.0\);_(* "-"??_);_(@_)</c:formatCode>
                <c:ptCount val="14"/>
                <c:pt idx="0">
                  <c:v>7.6</c:v>
                </c:pt>
                <c:pt idx="1">
                  <c:v>11</c:v>
                </c:pt>
                <c:pt idx="2">
                  <c:v>7.6</c:v>
                </c:pt>
                <c:pt idx="3">
                  <c:v>14.4</c:v>
                </c:pt>
                <c:pt idx="4">
                  <c:v>7.1</c:v>
                </c:pt>
                <c:pt idx="5">
                  <c:v>12</c:v>
                </c:pt>
                <c:pt idx="6" formatCode="General">
                  <c:v>7.1</c:v>
                </c:pt>
                <c:pt idx="7" formatCode="General">
                  <c:v>11.5</c:v>
                </c:pt>
                <c:pt idx="8">
                  <c:v>6.2</c:v>
                </c:pt>
                <c:pt idx="9">
                  <c:v>11.5</c:v>
                </c:pt>
                <c:pt idx="10">
                  <c:v>7.4</c:v>
                </c:pt>
                <c:pt idx="11">
                  <c:v>12.2</c:v>
                </c:pt>
                <c:pt idx="12">
                  <c:v>7.8</c:v>
                </c:pt>
                <c:pt idx="13">
                  <c:v>9.9</c:v>
                </c:pt>
              </c:numCache>
            </c:numRef>
          </c:val>
        </c:ser>
        <c:dLbls>
          <c:showLegendKey val="0"/>
          <c:showVal val="0"/>
          <c:showCatName val="0"/>
          <c:showSerName val="0"/>
          <c:showPercent val="0"/>
          <c:showBubbleSize val="0"/>
        </c:dLbls>
        <c:gapWidth val="150"/>
        <c:axId val="208658432"/>
        <c:axId val="208659968"/>
      </c:barChart>
      <c:catAx>
        <c:axId val="208658432"/>
        <c:scaling>
          <c:orientation val="minMax"/>
        </c:scaling>
        <c:delete val="0"/>
        <c:axPos val="b"/>
        <c:majorTickMark val="out"/>
        <c:minorTickMark val="none"/>
        <c:tickLblPos val="nextTo"/>
        <c:txPr>
          <a:bodyPr/>
          <a:lstStyle/>
          <a:p>
            <a:pPr>
              <a:defRPr b="1"/>
            </a:pPr>
            <a:endParaRPr lang="en-US"/>
          </a:p>
        </c:txPr>
        <c:crossAx val="208659968"/>
        <c:crosses val="autoZero"/>
        <c:auto val="1"/>
        <c:lblAlgn val="ctr"/>
        <c:lblOffset val="100"/>
        <c:noMultiLvlLbl val="0"/>
      </c:catAx>
      <c:valAx>
        <c:axId val="208659968"/>
        <c:scaling>
          <c:orientation val="minMax"/>
        </c:scaling>
        <c:delete val="0"/>
        <c:axPos val="l"/>
        <c:numFmt formatCode="_(* #,##0.0_);_(* \(#,##0.0\);_(* &quot;-&quot;??_);_(@_)" sourceLinked="1"/>
        <c:majorTickMark val="out"/>
        <c:minorTickMark val="none"/>
        <c:tickLblPos val="nextTo"/>
        <c:crossAx val="208658432"/>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'Analysis of non HF states1 (2)'!$N$94</c:f>
              <c:strCache>
                <c:ptCount val="1"/>
                <c:pt idx="0">
                  <c:v>Hypertension among Adults (age 15-49 years) -  Moderately high (Systolic 160-179 mm of Hg and/or Diastolic 100-109 mm of Hg) (%)  - NFHS IV</c:v>
                </c:pt>
              </c:strCache>
            </c:strRef>
          </c:tx>
          <c:spPr>
            <a:solidFill>
              <a:srgbClr val="FF33CC"/>
            </a:solidFill>
          </c:spPr>
          <c:invertIfNegative val="0"/>
          <c:dPt>
            <c:idx val="1"/>
            <c:invertIfNegative val="0"/>
            <c:bubble3D val="0"/>
            <c:spPr>
              <a:solidFill>
                <a:schemeClr val="tx2">
                  <a:lumMod val="75000"/>
                </a:schemeClr>
              </a:solidFill>
            </c:spPr>
          </c:dPt>
          <c:dPt>
            <c:idx val="3"/>
            <c:invertIfNegative val="0"/>
            <c:bubble3D val="0"/>
            <c:spPr>
              <a:solidFill>
                <a:schemeClr val="tx2">
                  <a:lumMod val="75000"/>
                </a:schemeClr>
              </a:solidFill>
            </c:spPr>
          </c:dPt>
          <c:dPt>
            <c:idx val="5"/>
            <c:invertIfNegative val="0"/>
            <c:bubble3D val="0"/>
            <c:spPr>
              <a:solidFill>
                <a:schemeClr val="tx2">
                  <a:lumMod val="75000"/>
                </a:schemeClr>
              </a:solidFill>
            </c:spPr>
          </c:dPt>
          <c:dPt>
            <c:idx val="7"/>
            <c:invertIfNegative val="0"/>
            <c:bubble3D val="0"/>
            <c:spPr>
              <a:solidFill>
                <a:schemeClr val="tx2">
                  <a:lumMod val="75000"/>
                </a:schemeClr>
              </a:solidFill>
            </c:spPr>
          </c:dPt>
          <c:dPt>
            <c:idx val="9"/>
            <c:invertIfNegative val="0"/>
            <c:bubble3D val="0"/>
            <c:spPr>
              <a:solidFill>
                <a:schemeClr val="tx2">
                  <a:lumMod val="75000"/>
                </a:schemeClr>
              </a:solidFill>
            </c:spPr>
          </c:dPt>
          <c:dPt>
            <c:idx val="11"/>
            <c:invertIfNegative val="0"/>
            <c:bubble3D val="0"/>
            <c:spPr>
              <a:solidFill>
                <a:schemeClr val="tx2">
                  <a:lumMod val="75000"/>
                </a:schemeClr>
              </a:solidFill>
            </c:spPr>
          </c:dPt>
          <c:dPt>
            <c:idx val="13"/>
            <c:invertIfNegative val="0"/>
            <c:bubble3D val="0"/>
            <c:spPr>
              <a:solidFill>
                <a:srgbClr val="00206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(2)'!$O$92:$AB$93</c:f>
              <c:multiLvlStrCache>
                <c:ptCount val="14"/>
                <c:lvl>
                  <c:pt idx="0">
                    <c:v>Women</c:v>
                  </c:pt>
                  <c:pt idx="1">
                    <c:v>Men</c:v>
                  </c:pt>
                  <c:pt idx="2">
                    <c:v>Women</c:v>
                  </c:pt>
                  <c:pt idx="3">
                    <c:v>Men</c:v>
                  </c:pt>
                  <c:pt idx="4">
                    <c:v>Women</c:v>
                  </c:pt>
                  <c:pt idx="5">
                    <c:v>Men</c:v>
                  </c:pt>
                  <c:pt idx="6">
                    <c:v>Women</c:v>
                  </c:pt>
                  <c:pt idx="7">
                    <c:v>Men</c:v>
                  </c:pt>
                  <c:pt idx="8">
                    <c:v>Women</c:v>
                  </c:pt>
                  <c:pt idx="9">
                    <c:v>Men</c:v>
                  </c:pt>
                  <c:pt idx="10">
                    <c:v>Women</c:v>
                  </c:pt>
                  <c:pt idx="11">
                    <c:v>Men</c:v>
                  </c:pt>
                  <c:pt idx="12">
                    <c:v>Women</c:v>
                  </c:pt>
                  <c:pt idx="13">
                    <c:v>Men</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(2)'!$O$94:$AB$94</c:f>
              <c:numCache>
                <c:formatCode>_(* #,##0.0_);_(* \(#,##0.0\);_(* "-"??_);_(@_)</c:formatCode>
                <c:ptCount val="14"/>
                <c:pt idx="0">
                  <c:v>1.7</c:v>
                </c:pt>
                <c:pt idx="1">
                  <c:v>3.6</c:v>
                </c:pt>
                <c:pt idx="2">
                  <c:v>1.1000000000000001</c:v>
                </c:pt>
                <c:pt idx="3">
                  <c:v>1.8</c:v>
                </c:pt>
                <c:pt idx="4">
                  <c:v>1.9000000000000001</c:v>
                </c:pt>
                <c:pt idx="5">
                  <c:v>2.2000000000000002</c:v>
                </c:pt>
                <c:pt idx="6" formatCode="General">
                  <c:v>1.4</c:v>
                </c:pt>
                <c:pt idx="7" formatCode="General">
                  <c:v>3.6</c:v>
                </c:pt>
                <c:pt idx="8">
                  <c:v>1.6</c:v>
                </c:pt>
                <c:pt idx="9">
                  <c:v>2.8</c:v>
                </c:pt>
                <c:pt idx="10">
                  <c:v>1.7</c:v>
                </c:pt>
                <c:pt idx="11">
                  <c:v>3.3</c:v>
                </c:pt>
                <c:pt idx="12">
                  <c:v>1.8</c:v>
                </c:pt>
                <c:pt idx="13">
                  <c:v>1.7</c:v>
                </c:pt>
              </c:numCache>
            </c:numRef>
          </c:val>
        </c:ser>
        <c:dLbls>
          <c:showLegendKey val="0"/>
          <c:showVal val="0"/>
          <c:showCatName val="0"/>
          <c:showSerName val="0"/>
          <c:showPercent val="0"/>
          <c:showBubbleSize val="0"/>
        </c:dLbls>
        <c:gapWidth val="150"/>
        <c:axId val="208683392"/>
        <c:axId val="208684928"/>
      </c:barChart>
      <c:catAx>
        <c:axId val="208683392"/>
        <c:scaling>
          <c:orientation val="minMax"/>
        </c:scaling>
        <c:delete val="0"/>
        <c:axPos val="b"/>
        <c:majorTickMark val="out"/>
        <c:minorTickMark val="none"/>
        <c:tickLblPos val="nextTo"/>
        <c:txPr>
          <a:bodyPr/>
          <a:lstStyle/>
          <a:p>
            <a:pPr>
              <a:defRPr b="1"/>
            </a:pPr>
            <a:endParaRPr lang="en-US"/>
          </a:p>
        </c:txPr>
        <c:crossAx val="208684928"/>
        <c:crosses val="autoZero"/>
        <c:auto val="1"/>
        <c:lblAlgn val="ctr"/>
        <c:lblOffset val="100"/>
        <c:noMultiLvlLbl val="0"/>
      </c:catAx>
      <c:valAx>
        <c:axId val="208684928"/>
        <c:scaling>
          <c:orientation val="minMax"/>
        </c:scaling>
        <c:delete val="0"/>
        <c:axPos val="l"/>
        <c:numFmt formatCode="_(* #,##0.0_);_(* \(#,##0.0\);_(* &quot;-&quot;??_);_(@_)" sourceLinked="1"/>
        <c:majorTickMark val="out"/>
        <c:minorTickMark val="none"/>
        <c:tickLblPos val="nextTo"/>
        <c:crossAx val="208683392"/>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'Analysis of non HF states1 (2)'!$N$97</c:f>
              <c:strCache>
                <c:ptCount val="1"/>
                <c:pt idx="0">
                  <c:v>Hypertension among Adults (age 15-49 years) - Very high (Systolic ≥180 mm of Hg and/or Diastolic ≥110 mm of Hg) (%)  - NFHS IV</c:v>
                </c:pt>
              </c:strCache>
            </c:strRef>
          </c:tx>
          <c:spPr>
            <a:solidFill>
              <a:srgbClr val="FF33CC"/>
            </a:solidFill>
          </c:spPr>
          <c:invertIfNegative val="0"/>
          <c:dPt>
            <c:idx val="1"/>
            <c:invertIfNegative val="0"/>
            <c:bubble3D val="0"/>
            <c:spPr>
              <a:solidFill>
                <a:schemeClr val="tx2">
                  <a:lumMod val="75000"/>
                </a:schemeClr>
              </a:solidFill>
            </c:spPr>
          </c:dPt>
          <c:dPt>
            <c:idx val="3"/>
            <c:invertIfNegative val="0"/>
            <c:bubble3D val="0"/>
            <c:spPr>
              <a:solidFill>
                <a:schemeClr val="tx2">
                  <a:lumMod val="75000"/>
                </a:schemeClr>
              </a:solidFill>
            </c:spPr>
          </c:dPt>
          <c:dPt>
            <c:idx val="5"/>
            <c:invertIfNegative val="0"/>
            <c:bubble3D val="0"/>
            <c:spPr>
              <a:solidFill>
                <a:schemeClr val="tx2">
                  <a:lumMod val="75000"/>
                </a:schemeClr>
              </a:solidFill>
            </c:spPr>
          </c:dPt>
          <c:dPt>
            <c:idx val="7"/>
            <c:invertIfNegative val="0"/>
            <c:bubble3D val="0"/>
            <c:spPr>
              <a:solidFill>
                <a:schemeClr val="tx2">
                  <a:lumMod val="75000"/>
                </a:schemeClr>
              </a:solidFill>
            </c:spPr>
          </c:dPt>
          <c:dPt>
            <c:idx val="9"/>
            <c:invertIfNegative val="0"/>
            <c:bubble3D val="0"/>
            <c:spPr>
              <a:solidFill>
                <a:schemeClr val="tx2">
                  <a:lumMod val="75000"/>
                </a:schemeClr>
              </a:solidFill>
            </c:spPr>
          </c:dPt>
          <c:dPt>
            <c:idx val="11"/>
            <c:invertIfNegative val="0"/>
            <c:bubble3D val="0"/>
            <c:spPr>
              <a:solidFill>
                <a:schemeClr val="tx2">
                  <a:lumMod val="75000"/>
                </a:schemeClr>
              </a:solidFill>
            </c:spPr>
          </c:dPt>
          <c:dPt>
            <c:idx val="13"/>
            <c:invertIfNegative val="0"/>
            <c:bubble3D val="0"/>
            <c:spPr>
              <a:solidFill>
                <a:srgbClr val="00206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(2)'!$O$95:$AB$96</c:f>
              <c:multiLvlStrCache>
                <c:ptCount val="14"/>
                <c:lvl>
                  <c:pt idx="0">
                    <c:v>Women</c:v>
                  </c:pt>
                  <c:pt idx="1">
                    <c:v>Men</c:v>
                  </c:pt>
                  <c:pt idx="2">
                    <c:v>Women</c:v>
                  </c:pt>
                  <c:pt idx="3">
                    <c:v>Men</c:v>
                  </c:pt>
                  <c:pt idx="4">
                    <c:v>Women</c:v>
                  </c:pt>
                  <c:pt idx="5">
                    <c:v>Men</c:v>
                  </c:pt>
                  <c:pt idx="6">
                    <c:v>Women</c:v>
                  </c:pt>
                  <c:pt idx="7">
                    <c:v>Men</c:v>
                  </c:pt>
                  <c:pt idx="8">
                    <c:v>Women</c:v>
                  </c:pt>
                  <c:pt idx="9">
                    <c:v>Men</c:v>
                  </c:pt>
                  <c:pt idx="10">
                    <c:v>Women</c:v>
                  </c:pt>
                  <c:pt idx="11">
                    <c:v>Men</c:v>
                  </c:pt>
                  <c:pt idx="12">
                    <c:v>Women</c:v>
                  </c:pt>
                  <c:pt idx="13">
                    <c:v>Men</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(2)'!$O$97:$AB$97</c:f>
              <c:numCache>
                <c:formatCode>_(* #,##0.0_);_(* \(#,##0.0\);_(* "-"??_);_(@_)</c:formatCode>
                <c:ptCount val="14"/>
                <c:pt idx="0">
                  <c:v>0.70000000000000062</c:v>
                </c:pt>
                <c:pt idx="1">
                  <c:v>1.6</c:v>
                </c:pt>
                <c:pt idx="2">
                  <c:v>0.5</c:v>
                </c:pt>
                <c:pt idx="3">
                  <c:v>0.60000000000000064</c:v>
                </c:pt>
                <c:pt idx="4">
                  <c:v>0.70000000000000062</c:v>
                </c:pt>
                <c:pt idx="5">
                  <c:v>1.2</c:v>
                </c:pt>
                <c:pt idx="6" formatCode="General">
                  <c:v>0.60000000000000064</c:v>
                </c:pt>
                <c:pt idx="7" formatCode="General">
                  <c:v>0.8</c:v>
                </c:pt>
                <c:pt idx="8">
                  <c:v>0.5</c:v>
                </c:pt>
                <c:pt idx="9">
                  <c:v>1.2</c:v>
                </c:pt>
                <c:pt idx="10">
                  <c:v>1</c:v>
                </c:pt>
                <c:pt idx="11">
                  <c:v>2.7</c:v>
                </c:pt>
                <c:pt idx="12">
                  <c:v>0.70000000000000062</c:v>
                </c:pt>
                <c:pt idx="13">
                  <c:v>0.8</c:v>
                </c:pt>
              </c:numCache>
            </c:numRef>
          </c:val>
        </c:ser>
        <c:dLbls>
          <c:showLegendKey val="0"/>
          <c:showVal val="0"/>
          <c:showCatName val="0"/>
          <c:showSerName val="0"/>
          <c:showPercent val="0"/>
          <c:showBubbleSize val="0"/>
        </c:dLbls>
        <c:gapWidth val="150"/>
        <c:axId val="208737024"/>
        <c:axId val="208738560"/>
      </c:barChart>
      <c:catAx>
        <c:axId val="208737024"/>
        <c:scaling>
          <c:orientation val="minMax"/>
        </c:scaling>
        <c:delete val="0"/>
        <c:axPos val="b"/>
        <c:majorTickMark val="out"/>
        <c:minorTickMark val="none"/>
        <c:tickLblPos val="nextTo"/>
        <c:txPr>
          <a:bodyPr/>
          <a:lstStyle/>
          <a:p>
            <a:pPr>
              <a:defRPr b="1"/>
            </a:pPr>
            <a:endParaRPr lang="en-US"/>
          </a:p>
        </c:txPr>
        <c:crossAx val="208738560"/>
        <c:crosses val="autoZero"/>
        <c:auto val="1"/>
        <c:lblAlgn val="ctr"/>
        <c:lblOffset val="100"/>
        <c:noMultiLvlLbl val="0"/>
      </c:catAx>
      <c:valAx>
        <c:axId val="208738560"/>
        <c:scaling>
          <c:orientation val="minMax"/>
        </c:scaling>
        <c:delete val="0"/>
        <c:axPos val="l"/>
        <c:numFmt formatCode="_(* #,##0.0_);_(* \(#,##0.0\);_(* &quot;-&quot;??_);_(@_)" sourceLinked="1"/>
        <c:majorTickMark val="out"/>
        <c:minorTickMark val="none"/>
        <c:tickLblPos val="nextTo"/>
        <c:crossAx val="20873702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600"/>
          </a:pPr>
          <a:endParaRPr lang="en-US"/>
        </a:p>
      </c:txPr>
    </c:title>
    <c:autoTitleDeleted val="0"/>
    <c:plotArea>
      <c:layout/>
      <c:barChart>
        <c:barDir val="col"/>
        <c:grouping val="clustered"/>
        <c:varyColors val="0"/>
        <c:ser>
          <c:idx val="0"/>
          <c:order val="0"/>
          <c:tx>
            <c:strRef>
              <c:f>'Analysis of non HF states1 (2)'!$N$9</c:f>
              <c:strCache>
                <c:ptCount val="1"/>
                <c:pt idx="0">
                  <c:v> Infant mortality rate (IMR)</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Pt>
            <c:idx val="7"/>
            <c:invertIfNegative val="0"/>
            <c:bubble3D val="0"/>
            <c:spPr>
              <a:solidFill>
                <a:srgbClr val="00B0F0"/>
              </a:solidFill>
            </c:spPr>
          </c:dPt>
          <c:dPt>
            <c:idx val="9"/>
            <c:invertIfNegative val="0"/>
            <c:bubble3D val="0"/>
            <c:spPr>
              <a:solidFill>
                <a:srgbClr val="00B0F0"/>
              </a:solidFill>
            </c:spPr>
          </c:dPt>
          <c:dPt>
            <c:idx val="11"/>
            <c:invertIfNegative val="0"/>
            <c:bubble3D val="0"/>
            <c:spPr>
              <a:solidFill>
                <a:srgbClr val="00B0F0"/>
              </a:solidFill>
            </c:spPr>
          </c:dPt>
          <c:dPt>
            <c:idx val="13"/>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(2)'!$O$7:$AB$8</c:f>
              <c:multiLvlStrCache>
                <c:ptCount val="14"/>
                <c:lvl>
                  <c:pt idx="0">
                    <c:v>NFHS IV (2015-16)</c:v>
                  </c:pt>
                  <c:pt idx="1">
                    <c:v>NFHS III(2005-06)</c:v>
                  </c:pt>
                  <c:pt idx="2">
                    <c:v>NFHS IV (2015-16)</c:v>
                  </c:pt>
                  <c:pt idx="3">
                    <c:v>NFHS III(2005-06)</c:v>
                  </c:pt>
                  <c:pt idx="4">
                    <c:v>NFHS IV (2015-16)</c:v>
                  </c:pt>
                  <c:pt idx="5">
                    <c:v>NFHS III(2005-06)</c:v>
                  </c:pt>
                  <c:pt idx="6">
                    <c:v>NFHS IV (2015-16)</c:v>
                  </c:pt>
                  <c:pt idx="7">
                    <c:v>NFHS III(2005-06)</c:v>
                  </c:pt>
                  <c:pt idx="8">
                    <c:v>NFHS IV (2015-16)</c:v>
                  </c:pt>
                  <c:pt idx="9">
                    <c:v>NFHS III(2005-06)</c:v>
                  </c:pt>
                  <c:pt idx="10">
                    <c:v>NFHS IV (2015-16)</c:v>
                  </c:pt>
                  <c:pt idx="11">
                    <c:v>NFHS III(2005-06)</c:v>
                  </c:pt>
                  <c:pt idx="12">
                    <c:v>NFHS IV (2015-16)</c:v>
                  </c:pt>
                  <c:pt idx="13">
                    <c:v>NFHS III(2005-06)</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(2)'!$O$9:$AB$9</c:f>
              <c:numCache>
                <c:formatCode>General</c:formatCode>
                <c:ptCount val="14"/>
                <c:pt idx="0" formatCode="_(* #,##0.0_);_(* \(#,##0.0\);_(* &quot;-&quot;??_);_(@_)">
                  <c:v>35</c:v>
                </c:pt>
                <c:pt idx="2" formatCode="_(* #,##0.0_);_(* \(#,##0.0\);_(* &quot;-&quot;??_);_(@_)">
                  <c:v>33</c:v>
                </c:pt>
                <c:pt idx="3" formatCode="_(* #,##0.0_);_(* \(#,##0.0\);_(* &quot;-&quot;??_);_(@_)">
                  <c:v>41</c:v>
                </c:pt>
                <c:pt idx="4" formatCode="_(* #,##0.0_);_(* \(#,##0.0\);_(* &quot;-&quot;??_);_(@_)">
                  <c:v>28</c:v>
                </c:pt>
                <c:pt idx="5" formatCode="_(* #,##0.0_);_(* \(#,##0.0\);_(* &quot;-&quot;??_);_(@_)">
                  <c:v>43</c:v>
                </c:pt>
                <c:pt idx="6">
                  <c:v>24</c:v>
                </c:pt>
                <c:pt idx="7">
                  <c:v>37</c:v>
                </c:pt>
                <c:pt idx="8" formatCode="_(* #,##0.0_);_(* \(#,##0.0\);_(* &quot;-&quot;??_);_(@_)">
                  <c:v>21</c:v>
                </c:pt>
                <c:pt idx="9" formatCode="_(* #,##0.0_);_(* \(#,##0.0\);_(* &quot;-&quot;??_);_(@_)">
                  <c:v>30</c:v>
                </c:pt>
                <c:pt idx="10" formatCode="_(* #,##0.0_);_(* \(#,##0.0\);_(* &quot;-&quot;??_);_(@_)">
                  <c:v>28</c:v>
                </c:pt>
                <c:pt idx="12" formatCode="_(* #,##0.0_);_(* \(#,##0.0\);_(* &quot;-&quot;??_);_(@_)">
                  <c:v>27</c:v>
                </c:pt>
                <c:pt idx="13" formatCode="_(* #,##0.0_);_(* \(#,##0.0\);_(* &quot;-&quot;??_);_(@_)">
                  <c:v>48</c:v>
                </c:pt>
              </c:numCache>
            </c:numRef>
          </c:val>
        </c:ser>
        <c:dLbls>
          <c:showLegendKey val="0"/>
          <c:showVal val="0"/>
          <c:showCatName val="0"/>
          <c:showSerName val="0"/>
          <c:showPercent val="0"/>
          <c:showBubbleSize val="0"/>
        </c:dLbls>
        <c:gapWidth val="150"/>
        <c:axId val="129632128"/>
        <c:axId val="129633664"/>
      </c:barChart>
      <c:catAx>
        <c:axId val="129632128"/>
        <c:scaling>
          <c:orientation val="minMax"/>
        </c:scaling>
        <c:delete val="0"/>
        <c:axPos val="b"/>
        <c:majorTickMark val="out"/>
        <c:minorTickMark val="none"/>
        <c:tickLblPos val="nextTo"/>
        <c:txPr>
          <a:bodyPr/>
          <a:lstStyle/>
          <a:p>
            <a:pPr>
              <a:defRPr b="1"/>
            </a:pPr>
            <a:endParaRPr lang="en-US"/>
          </a:p>
        </c:txPr>
        <c:crossAx val="129633664"/>
        <c:crosses val="autoZero"/>
        <c:auto val="1"/>
        <c:lblAlgn val="ctr"/>
        <c:lblOffset val="100"/>
        <c:noMultiLvlLbl val="0"/>
      </c:catAx>
      <c:valAx>
        <c:axId val="129633664"/>
        <c:scaling>
          <c:orientation val="minMax"/>
        </c:scaling>
        <c:delete val="0"/>
        <c:axPos val="l"/>
        <c:numFmt formatCode="_(* #,##0.0_);_(* \(#,##0.0\);_(* &quot;-&quot;??_);_(@_)" sourceLinked="1"/>
        <c:majorTickMark val="out"/>
        <c:minorTickMark val="none"/>
        <c:tickLblPos val="nextTo"/>
        <c:crossAx val="129632128"/>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600"/>
          </a:pPr>
          <a:endParaRPr lang="en-US"/>
        </a:p>
      </c:txPr>
    </c:title>
    <c:autoTitleDeleted val="0"/>
    <c:plotArea>
      <c:layout/>
      <c:barChart>
        <c:barDir val="col"/>
        <c:grouping val="clustered"/>
        <c:varyColors val="0"/>
        <c:ser>
          <c:idx val="0"/>
          <c:order val="0"/>
          <c:tx>
            <c:strRef>
              <c:f>'Analysis of non HF states1 (2)'!$N$12</c:f>
              <c:strCache>
                <c:ptCount val="1"/>
                <c:pt idx="0">
                  <c:v> Under-five mortality rate (U5MR)</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Pt>
            <c:idx val="7"/>
            <c:invertIfNegative val="0"/>
            <c:bubble3D val="0"/>
            <c:spPr>
              <a:solidFill>
                <a:srgbClr val="00B0F0"/>
              </a:solidFill>
            </c:spPr>
          </c:dPt>
          <c:dPt>
            <c:idx val="9"/>
            <c:invertIfNegative val="0"/>
            <c:bubble3D val="0"/>
            <c:spPr>
              <a:solidFill>
                <a:srgbClr val="00B0F0"/>
              </a:solidFill>
            </c:spPr>
          </c:dPt>
          <c:dPt>
            <c:idx val="11"/>
            <c:invertIfNegative val="0"/>
            <c:bubble3D val="0"/>
            <c:spPr>
              <a:solidFill>
                <a:srgbClr val="00B0F0"/>
              </a:solidFill>
            </c:spPr>
          </c:dPt>
          <c:dPt>
            <c:idx val="13"/>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(2)'!$O$10:$AB$11</c:f>
              <c:multiLvlStrCache>
                <c:ptCount val="14"/>
                <c:lvl>
                  <c:pt idx="0">
                    <c:v>NFHS IV (2015-16)</c:v>
                  </c:pt>
                  <c:pt idx="1">
                    <c:v>NFHS III(2005-06)</c:v>
                  </c:pt>
                  <c:pt idx="2">
                    <c:v>NFHS IV (2015-16)</c:v>
                  </c:pt>
                  <c:pt idx="3">
                    <c:v>NFHS III(2005-06)</c:v>
                  </c:pt>
                  <c:pt idx="4">
                    <c:v>NFHS IV (2015-16)</c:v>
                  </c:pt>
                  <c:pt idx="5">
                    <c:v>NFHS III(2005-06)</c:v>
                  </c:pt>
                  <c:pt idx="6">
                    <c:v>NFHS IV (2015-16)</c:v>
                  </c:pt>
                  <c:pt idx="7">
                    <c:v>NFHS III(2005-06)</c:v>
                  </c:pt>
                  <c:pt idx="8">
                    <c:v>NFHS IV (2015-16)</c:v>
                  </c:pt>
                  <c:pt idx="9">
                    <c:v>NFHS III(2005-06)</c:v>
                  </c:pt>
                  <c:pt idx="10">
                    <c:v>NFHS IV (2015-16)</c:v>
                  </c:pt>
                  <c:pt idx="11">
                    <c:v>NFHS III(2005-06)</c:v>
                  </c:pt>
                  <c:pt idx="12">
                    <c:v>NFHS IV (2015-16)</c:v>
                  </c:pt>
                  <c:pt idx="13">
                    <c:v>NFHS III(2005-06)</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(2)'!$O$12:$AB$12</c:f>
              <c:numCache>
                <c:formatCode>General</c:formatCode>
                <c:ptCount val="14"/>
                <c:pt idx="0" formatCode="_(* #,##0.0_);_(* \(#,##0.0\);_(* &quot;-&quot;??_);_(@_)">
                  <c:v>41</c:v>
                </c:pt>
                <c:pt idx="2" formatCode="_(* #,##0.0_);_(* \(#,##0.0\);_(* &quot;-&quot;??_);_(@_)">
                  <c:v>41</c:v>
                </c:pt>
                <c:pt idx="3" formatCode="_(* #,##0.0_);_(* \(#,##0.0\);_(* &quot;-&quot;??_);_(@_)">
                  <c:v>52</c:v>
                </c:pt>
                <c:pt idx="4" formatCode="_(* #,##0.0_);_(* \(#,##0.0\);_(* &quot;-&quot;??_);_(@_)">
                  <c:v>32</c:v>
                </c:pt>
                <c:pt idx="5" formatCode="_(* #,##0.0_);_(* \(#,##0.0\);_(* &quot;-&quot;??_);_(@_)">
                  <c:v>54</c:v>
                </c:pt>
                <c:pt idx="6">
                  <c:v>29</c:v>
                </c:pt>
                <c:pt idx="7">
                  <c:v>46</c:v>
                </c:pt>
                <c:pt idx="8" formatCode="_(* #,##0.0_);_(* \(#,##0.0\);_(* &quot;-&quot;??_);_(@_)">
                  <c:v>27</c:v>
                </c:pt>
                <c:pt idx="9" formatCode="_(* #,##0.0_);_(* \(#,##0.0\);_(* &quot;-&quot;??_);_(@_)">
                  <c:v>35</c:v>
                </c:pt>
                <c:pt idx="10" formatCode="_(* #,##0.0_);_(* \(#,##0.0\);_(* &quot;-&quot;??_);_(@_)">
                  <c:v>32</c:v>
                </c:pt>
                <c:pt idx="12" formatCode="_(* #,##0.0_);_(* \(#,##0.0\);_(* &quot;-&quot;??_);_(@_)">
                  <c:v>32</c:v>
                </c:pt>
                <c:pt idx="13" formatCode="_(* #,##0.0_);_(* \(#,##0.0\);_(* &quot;-&quot;??_);_(@_)">
                  <c:v>59</c:v>
                </c:pt>
              </c:numCache>
            </c:numRef>
          </c:val>
        </c:ser>
        <c:dLbls>
          <c:showLegendKey val="0"/>
          <c:showVal val="0"/>
          <c:showCatName val="0"/>
          <c:showSerName val="0"/>
          <c:showPercent val="0"/>
          <c:showBubbleSize val="0"/>
        </c:dLbls>
        <c:gapWidth val="150"/>
        <c:axId val="129661184"/>
        <c:axId val="129671168"/>
      </c:barChart>
      <c:catAx>
        <c:axId val="129661184"/>
        <c:scaling>
          <c:orientation val="minMax"/>
        </c:scaling>
        <c:delete val="0"/>
        <c:axPos val="b"/>
        <c:majorTickMark val="out"/>
        <c:minorTickMark val="none"/>
        <c:tickLblPos val="nextTo"/>
        <c:txPr>
          <a:bodyPr/>
          <a:lstStyle/>
          <a:p>
            <a:pPr>
              <a:defRPr b="1"/>
            </a:pPr>
            <a:endParaRPr lang="en-US"/>
          </a:p>
        </c:txPr>
        <c:crossAx val="129671168"/>
        <c:crosses val="autoZero"/>
        <c:auto val="1"/>
        <c:lblAlgn val="ctr"/>
        <c:lblOffset val="100"/>
        <c:noMultiLvlLbl val="0"/>
      </c:catAx>
      <c:valAx>
        <c:axId val="129671168"/>
        <c:scaling>
          <c:orientation val="minMax"/>
        </c:scaling>
        <c:delete val="0"/>
        <c:axPos val="l"/>
        <c:numFmt formatCode="_(* #,##0.0_);_(* \(#,##0.0\);_(* &quot;-&quot;??_);_(@_)" sourceLinked="1"/>
        <c:majorTickMark val="out"/>
        <c:minorTickMark val="none"/>
        <c:tickLblPos val="nextTo"/>
        <c:crossAx val="129661184"/>
        <c:crosses val="autoZero"/>
        <c:crossBetween val="between"/>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600"/>
          </a:pPr>
          <a:endParaRPr lang="en-US"/>
        </a:p>
      </c:txPr>
    </c:title>
    <c:autoTitleDeleted val="0"/>
    <c:plotArea>
      <c:layout/>
      <c:barChart>
        <c:barDir val="col"/>
        <c:grouping val="clustered"/>
        <c:varyColors val="0"/>
        <c:ser>
          <c:idx val="0"/>
          <c:order val="0"/>
          <c:tx>
            <c:strRef>
              <c:f>'Analysis of non HF states1 (2)'!$N$15</c:f>
              <c:strCache>
                <c:ptCount val="1"/>
                <c:pt idx="0">
                  <c:v> Total unmet need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Pt>
            <c:idx val="7"/>
            <c:invertIfNegative val="0"/>
            <c:bubble3D val="0"/>
            <c:spPr>
              <a:solidFill>
                <a:srgbClr val="00B0F0"/>
              </a:solidFill>
            </c:spPr>
          </c:dPt>
          <c:dPt>
            <c:idx val="9"/>
            <c:invertIfNegative val="0"/>
            <c:bubble3D val="0"/>
            <c:spPr>
              <a:solidFill>
                <a:srgbClr val="00B0F0"/>
              </a:solidFill>
            </c:spPr>
          </c:dPt>
          <c:dPt>
            <c:idx val="11"/>
            <c:invertIfNegative val="0"/>
            <c:bubble3D val="0"/>
            <c:spPr>
              <a:solidFill>
                <a:srgbClr val="00B0F0"/>
              </a:solidFill>
            </c:spPr>
          </c:dPt>
          <c:dPt>
            <c:idx val="13"/>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(2)'!$O$13:$AB$14</c:f>
              <c:multiLvlStrCache>
                <c:ptCount val="14"/>
                <c:lvl>
                  <c:pt idx="0">
                    <c:v>NFHS IV (2015-16)</c:v>
                  </c:pt>
                  <c:pt idx="1">
                    <c:v>NFHS III(2005-06)</c:v>
                  </c:pt>
                  <c:pt idx="2">
                    <c:v>NFHS IV (2015-16)</c:v>
                  </c:pt>
                  <c:pt idx="3">
                    <c:v>NFHS III(2005-06)</c:v>
                  </c:pt>
                  <c:pt idx="4">
                    <c:v>NFHS IV (2015-16)</c:v>
                  </c:pt>
                  <c:pt idx="5">
                    <c:v>NFHS III(2005-06)</c:v>
                  </c:pt>
                  <c:pt idx="6">
                    <c:v>NFHS IV (2015-16)</c:v>
                  </c:pt>
                  <c:pt idx="7">
                    <c:v>NFHS III(2005-06)</c:v>
                  </c:pt>
                  <c:pt idx="8">
                    <c:v>NFHS IV (2015-16)</c:v>
                  </c:pt>
                  <c:pt idx="9">
                    <c:v>NFHS III(2005-06)</c:v>
                  </c:pt>
                  <c:pt idx="10">
                    <c:v>NFHS IV (2015-16)</c:v>
                  </c:pt>
                  <c:pt idx="11">
                    <c:v>NFHS III(2005-06)</c:v>
                  </c:pt>
                  <c:pt idx="12">
                    <c:v>NFHS IV (2015-16)</c:v>
                  </c:pt>
                  <c:pt idx="13">
                    <c:v>NFHS III(2005-06)</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(2)'!$O$15:$AB$15</c:f>
              <c:numCache>
                <c:formatCode>General</c:formatCode>
                <c:ptCount val="14"/>
                <c:pt idx="0" formatCode="_(* #,##0.0_);_(* \(#,##0.0\);_(* &quot;-&quot;??_);_(@_)">
                  <c:v>4.7</c:v>
                </c:pt>
                <c:pt idx="2" formatCode="_(* #,##0.0_);_(* \(#,##0.0\);_(* &quot;-&quot;??_);_(@_)">
                  <c:v>9.3000000000000007</c:v>
                </c:pt>
                <c:pt idx="3" formatCode="_(* #,##0.0_);_(* \(#,##0.0\);_(* &quot;-&quot;??_);_(@_)">
                  <c:v>9.5</c:v>
                </c:pt>
                <c:pt idx="4" formatCode="_(* #,##0.0_);_(* \(#,##0.0\);_(* &quot;-&quot;??_);_(@_)">
                  <c:v>10.4</c:v>
                </c:pt>
                <c:pt idx="5" formatCode="_(* #,##0.0_);_(* \(#,##0.0\);_(* &quot;-&quot;??_);_(@_)">
                  <c:v>10.1</c:v>
                </c:pt>
                <c:pt idx="6">
                  <c:v>9.7000000000000011</c:v>
                </c:pt>
                <c:pt idx="7">
                  <c:v>10</c:v>
                </c:pt>
                <c:pt idx="8" formatCode="_(* #,##0.0_);_(* \(#,##0.0\);_(* &quot;-&quot;??_);_(@_)">
                  <c:v>10.1</c:v>
                </c:pt>
                <c:pt idx="9" formatCode="_(* #,##0.0_);_(* \(#,##0.0\);_(* &quot;-&quot;??_);_(@_)">
                  <c:v>10.200000000000001</c:v>
                </c:pt>
                <c:pt idx="10" formatCode="_(* #,##0.0_);_(* \(#,##0.0\);_(* &quot;-&quot;??_);_(@_)">
                  <c:v>7.3</c:v>
                </c:pt>
                <c:pt idx="12" formatCode="_(* #,##0.0_);_(* \(#,##0.0\);_(* &quot;-&quot;??_);_(@_)">
                  <c:v>7.5</c:v>
                </c:pt>
                <c:pt idx="13" formatCode="_(* #,##0.0_);_(* \(#,##0.0\);_(* &quot;-&quot;??_);_(@_)">
                  <c:v>9.5</c:v>
                </c:pt>
              </c:numCache>
            </c:numRef>
          </c:val>
        </c:ser>
        <c:dLbls>
          <c:showLegendKey val="0"/>
          <c:showVal val="0"/>
          <c:showCatName val="0"/>
          <c:showSerName val="0"/>
          <c:showPercent val="0"/>
          <c:showBubbleSize val="0"/>
        </c:dLbls>
        <c:gapWidth val="150"/>
        <c:axId val="129690240"/>
        <c:axId val="129692032"/>
      </c:barChart>
      <c:catAx>
        <c:axId val="129690240"/>
        <c:scaling>
          <c:orientation val="minMax"/>
        </c:scaling>
        <c:delete val="0"/>
        <c:axPos val="b"/>
        <c:majorTickMark val="out"/>
        <c:minorTickMark val="none"/>
        <c:tickLblPos val="nextTo"/>
        <c:txPr>
          <a:bodyPr/>
          <a:lstStyle/>
          <a:p>
            <a:pPr>
              <a:defRPr b="1"/>
            </a:pPr>
            <a:endParaRPr lang="en-US"/>
          </a:p>
        </c:txPr>
        <c:crossAx val="129692032"/>
        <c:crosses val="autoZero"/>
        <c:auto val="1"/>
        <c:lblAlgn val="ctr"/>
        <c:lblOffset val="100"/>
        <c:noMultiLvlLbl val="0"/>
      </c:catAx>
      <c:valAx>
        <c:axId val="129692032"/>
        <c:scaling>
          <c:orientation val="minMax"/>
        </c:scaling>
        <c:delete val="0"/>
        <c:axPos val="l"/>
        <c:numFmt formatCode="_(* #,##0.0_);_(* \(#,##0.0\);_(* &quot;-&quot;??_);_(@_)" sourceLinked="1"/>
        <c:majorTickMark val="out"/>
        <c:minorTickMark val="none"/>
        <c:tickLblPos val="nextTo"/>
        <c:crossAx val="129690240"/>
        <c:crosses val="autoZero"/>
        <c:crossBetween val="between"/>
      </c:valAx>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600"/>
          </a:pPr>
          <a:endParaRPr lang="en-US"/>
        </a:p>
      </c:txPr>
    </c:title>
    <c:autoTitleDeleted val="0"/>
    <c:plotArea>
      <c:layout/>
      <c:barChart>
        <c:barDir val="col"/>
        <c:grouping val="clustered"/>
        <c:varyColors val="0"/>
        <c:ser>
          <c:idx val="0"/>
          <c:order val="0"/>
          <c:tx>
            <c:strRef>
              <c:f>'Analysis of non HF states1 (2)'!$N$19</c:f>
              <c:strCache>
                <c:ptCount val="1"/>
                <c:pt idx="0">
                  <c:v> Mothers who had antenatal check-up in the first trimester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Pt>
            <c:idx val="7"/>
            <c:invertIfNegative val="0"/>
            <c:bubble3D val="0"/>
            <c:spPr>
              <a:solidFill>
                <a:srgbClr val="00B0F0"/>
              </a:solidFill>
            </c:spPr>
          </c:dPt>
          <c:dPt>
            <c:idx val="9"/>
            <c:invertIfNegative val="0"/>
            <c:bubble3D val="0"/>
            <c:spPr>
              <a:solidFill>
                <a:srgbClr val="00B0F0"/>
              </a:solidFill>
            </c:spPr>
          </c:dPt>
          <c:dPt>
            <c:idx val="11"/>
            <c:invertIfNegative val="0"/>
            <c:bubble3D val="0"/>
            <c:spPr>
              <a:solidFill>
                <a:srgbClr val="00B0F0"/>
              </a:solidFill>
            </c:spPr>
          </c:dPt>
          <c:dPt>
            <c:idx val="13"/>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(2)'!$O$17:$AB$18</c:f>
              <c:multiLvlStrCache>
                <c:ptCount val="14"/>
                <c:lvl>
                  <c:pt idx="0">
                    <c:v>NFHS IV (2015-16)</c:v>
                  </c:pt>
                  <c:pt idx="1">
                    <c:v>NFHS III(2005-06)</c:v>
                  </c:pt>
                  <c:pt idx="2">
                    <c:v>NFHS IV (2015-16)</c:v>
                  </c:pt>
                  <c:pt idx="3">
                    <c:v>NFHS III(2005-06)</c:v>
                  </c:pt>
                  <c:pt idx="4">
                    <c:v>NFHS IV (2015-16)</c:v>
                  </c:pt>
                  <c:pt idx="5">
                    <c:v>NFHS III(2005-06)</c:v>
                  </c:pt>
                  <c:pt idx="6">
                    <c:v>NFHS IV (2015-16)</c:v>
                  </c:pt>
                  <c:pt idx="7">
                    <c:v>NFHS III(2005-06)</c:v>
                  </c:pt>
                  <c:pt idx="8">
                    <c:v>NFHS IV (2015-16)</c:v>
                  </c:pt>
                  <c:pt idx="9">
                    <c:v>NFHS III(2005-06)</c:v>
                  </c:pt>
                  <c:pt idx="10">
                    <c:v>NFHS IV (2015-16)</c:v>
                  </c:pt>
                  <c:pt idx="11">
                    <c:v>NFHS III(2005-06)</c:v>
                  </c:pt>
                  <c:pt idx="12">
                    <c:v>NFHS IV (2015-16)</c:v>
                  </c:pt>
                  <c:pt idx="13">
                    <c:v>NFHS III(2005-06)</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(2)'!$O$19:$AB$19</c:f>
              <c:numCache>
                <c:formatCode>General</c:formatCode>
                <c:ptCount val="14"/>
                <c:pt idx="0" formatCode="_(* #,##0.0_);_(* \(#,##0.0\);_(* &quot;-&quot;??_);_(@_)">
                  <c:v>82.4</c:v>
                </c:pt>
                <c:pt idx="2" formatCode="_(* #,##0.0_);_(* \(#,##0.0\);_(* &quot;-&quot;??_);_(@_)">
                  <c:v>63.2</c:v>
                </c:pt>
                <c:pt idx="3" formatCode="_(* #,##0.0_);_(* \(#,##0.0\);_(* &quot;-&quot;??_);_(@_)">
                  <c:v>51.4</c:v>
                </c:pt>
                <c:pt idx="4" formatCode="_(* #,##0.0_);_(* \(#,##0.0\);_(* &quot;-&quot;??_);_(@_)">
                  <c:v>66</c:v>
                </c:pt>
                <c:pt idx="5" formatCode="_(* #,##0.0_);_(* \(#,##0.0\);_(* &quot;-&quot;??_);_(@_)">
                  <c:v>70.900000000000006</c:v>
                </c:pt>
                <c:pt idx="6">
                  <c:v>67.599999999999994</c:v>
                </c:pt>
                <c:pt idx="7">
                  <c:v>62.1</c:v>
                </c:pt>
                <c:pt idx="8" formatCode="_(* #,##0.0_);_(* \(#,##0.0\);_(* &quot;-&quot;??_);_(@_)">
                  <c:v>64</c:v>
                </c:pt>
                <c:pt idx="9" formatCode="_(* #,##0.0_);_(* \(#,##0.0\);_(* &quot;-&quot;??_);_(@_)">
                  <c:v>75.3</c:v>
                </c:pt>
                <c:pt idx="10" formatCode="_(* #,##0.0_);_(* \(#,##0.0\);_(* &quot;-&quot;??_);_(@_)">
                  <c:v>83.1</c:v>
                </c:pt>
                <c:pt idx="12" formatCode="_(* #,##0.0_);_(* \(#,##0.0\);_(* &quot;-&quot;??_);_(@_)">
                  <c:v>54.9</c:v>
                </c:pt>
                <c:pt idx="13" formatCode="_(* #,##0.0_);_(* \(#,##0.0\);_(* &quot;-&quot;??_);_(@_)">
                  <c:v>38.6</c:v>
                </c:pt>
              </c:numCache>
            </c:numRef>
          </c:val>
        </c:ser>
        <c:dLbls>
          <c:showLegendKey val="0"/>
          <c:showVal val="0"/>
          <c:showCatName val="0"/>
          <c:showSerName val="0"/>
          <c:showPercent val="0"/>
          <c:showBubbleSize val="0"/>
        </c:dLbls>
        <c:gapWidth val="150"/>
        <c:axId val="129985536"/>
        <c:axId val="129987328"/>
      </c:barChart>
      <c:catAx>
        <c:axId val="129985536"/>
        <c:scaling>
          <c:orientation val="minMax"/>
        </c:scaling>
        <c:delete val="0"/>
        <c:axPos val="b"/>
        <c:majorTickMark val="out"/>
        <c:minorTickMark val="none"/>
        <c:tickLblPos val="nextTo"/>
        <c:txPr>
          <a:bodyPr/>
          <a:lstStyle/>
          <a:p>
            <a:pPr>
              <a:defRPr b="1"/>
            </a:pPr>
            <a:endParaRPr lang="en-US"/>
          </a:p>
        </c:txPr>
        <c:crossAx val="129987328"/>
        <c:crosses val="autoZero"/>
        <c:auto val="1"/>
        <c:lblAlgn val="ctr"/>
        <c:lblOffset val="100"/>
        <c:noMultiLvlLbl val="0"/>
      </c:catAx>
      <c:valAx>
        <c:axId val="129987328"/>
        <c:scaling>
          <c:orientation val="minMax"/>
        </c:scaling>
        <c:delete val="0"/>
        <c:axPos val="l"/>
        <c:numFmt formatCode="_(* #,##0.0_);_(* \(#,##0.0\);_(* &quot;-&quot;??_);_(@_)" sourceLinked="1"/>
        <c:majorTickMark val="out"/>
        <c:minorTickMark val="none"/>
        <c:tickLblPos val="nextTo"/>
        <c:crossAx val="129985536"/>
        <c:crosses val="autoZero"/>
        <c:crossBetween val="between"/>
      </c:valAx>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600"/>
          </a:pPr>
          <a:endParaRPr lang="en-US"/>
        </a:p>
      </c:txPr>
    </c:title>
    <c:autoTitleDeleted val="0"/>
    <c:plotArea>
      <c:layout/>
      <c:barChart>
        <c:barDir val="col"/>
        <c:grouping val="clustered"/>
        <c:varyColors val="0"/>
        <c:ser>
          <c:idx val="0"/>
          <c:order val="0"/>
          <c:tx>
            <c:strRef>
              <c:f>'Analysis of non HF states1 (2)'!$N$22</c:f>
              <c:strCache>
                <c:ptCount val="1"/>
                <c:pt idx="0">
                  <c:v> Mothers who had at least 4 antenatal care visits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Pt>
            <c:idx val="7"/>
            <c:invertIfNegative val="0"/>
            <c:bubble3D val="0"/>
            <c:spPr>
              <a:solidFill>
                <a:srgbClr val="00B0F0"/>
              </a:solidFill>
            </c:spPr>
          </c:dPt>
          <c:dPt>
            <c:idx val="9"/>
            <c:invertIfNegative val="0"/>
            <c:bubble3D val="0"/>
            <c:spPr>
              <a:solidFill>
                <a:srgbClr val="00B0F0"/>
              </a:solidFill>
            </c:spPr>
          </c:dPt>
          <c:dPt>
            <c:idx val="11"/>
            <c:invertIfNegative val="0"/>
            <c:bubble3D val="0"/>
            <c:spPr>
              <a:solidFill>
                <a:srgbClr val="00B0F0"/>
              </a:solidFill>
            </c:spPr>
          </c:dPt>
          <c:dPt>
            <c:idx val="13"/>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(2)'!$O$20:$AB$21</c:f>
              <c:multiLvlStrCache>
                <c:ptCount val="14"/>
                <c:lvl>
                  <c:pt idx="0">
                    <c:v>NFHS IV (2015-16)</c:v>
                  </c:pt>
                  <c:pt idx="1">
                    <c:v>NFHS III(2005-06)</c:v>
                  </c:pt>
                  <c:pt idx="2">
                    <c:v>NFHS IV (2015-16)</c:v>
                  </c:pt>
                  <c:pt idx="3">
                    <c:v>NFHS III(2005-06)</c:v>
                  </c:pt>
                  <c:pt idx="4">
                    <c:v>NFHS IV (2015-16)</c:v>
                  </c:pt>
                  <c:pt idx="5">
                    <c:v>NFHS III(2005-06)</c:v>
                  </c:pt>
                  <c:pt idx="6">
                    <c:v>NFHS IV (2015-16)</c:v>
                  </c:pt>
                  <c:pt idx="7">
                    <c:v>NFHS III(2005-06)</c:v>
                  </c:pt>
                  <c:pt idx="8">
                    <c:v>NFHS IV (2015-16)</c:v>
                  </c:pt>
                  <c:pt idx="9">
                    <c:v>NFHS III(2005-06)</c:v>
                  </c:pt>
                  <c:pt idx="10">
                    <c:v>NFHS IV (2015-16)</c:v>
                  </c:pt>
                  <c:pt idx="11">
                    <c:v>NFHS III(2005-06)</c:v>
                  </c:pt>
                  <c:pt idx="12">
                    <c:v>NFHS IV (2015-16)</c:v>
                  </c:pt>
                  <c:pt idx="13">
                    <c:v>NFHS III(2005-06)</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(2)'!$O$22:$AB$22</c:f>
              <c:numCache>
                <c:formatCode>General</c:formatCode>
                <c:ptCount val="14"/>
                <c:pt idx="0" formatCode="_(* #,##0.0_);_(* \(#,##0.0\);_(* &quot;-&quot;??_);_(@_)">
                  <c:v>76.3</c:v>
                </c:pt>
                <c:pt idx="2" formatCode="_(* #,##0.0_);_(* \(#,##0.0\);_(* &quot;-&quot;??_);_(@_)">
                  <c:v>45.1</c:v>
                </c:pt>
                <c:pt idx="3" formatCode="_(* #,##0.0_);_(* \(#,##0.0\);_(* &quot;-&quot;??_);_(@_)">
                  <c:v>41.8</c:v>
                </c:pt>
                <c:pt idx="4" formatCode="_(* #,##0.0_);_(* \(#,##0.0\);_(* &quot;-&quot;??_);_(@_)">
                  <c:v>70.3</c:v>
                </c:pt>
                <c:pt idx="5" formatCode="_(* #,##0.0_);_(* \(#,##0.0\);_(* &quot;-&quot;??_);_(@_)">
                  <c:v>68</c:v>
                </c:pt>
                <c:pt idx="6">
                  <c:v>72.2</c:v>
                </c:pt>
                <c:pt idx="7">
                  <c:v>59.8</c:v>
                </c:pt>
                <c:pt idx="8" formatCode="_(* #,##0.0_);_(* \(#,##0.0\);_(* &quot;-&quot;??_);_(@_)">
                  <c:v>81.2</c:v>
                </c:pt>
                <c:pt idx="9" formatCode="_(* #,##0.0_);_(* \(#,##0.0\);_(* &quot;-&quot;??_);_(@_)">
                  <c:v>87.4</c:v>
                </c:pt>
                <c:pt idx="10" formatCode="_(* #,##0.0_);_(* \(#,##0.0\);_(* &quot;-&quot;??_);_(@_)">
                  <c:v>75</c:v>
                </c:pt>
                <c:pt idx="12" formatCode="_(* #,##0.0_);_(* \(#,##0.0\);_(* &quot;-&quot;??_);_(@_)">
                  <c:v>76.5</c:v>
                </c:pt>
                <c:pt idx="13" formatCode="_(* #,##0.0_);_(* \(#,##0.0\);_(* &quot;-&quot;??_);_(@_)">
                  <c:v>39</c:v>
                </c:pt>
              </c:numCache>
            </c:numRef>
          </c:val>
        </c:ser>
        <c:dLbls>
          <c:showLegendKey val="0"/>
          <c:showVal val="0"/>
          <c:showCatName val="0"/>
          <c:showSerName val="0"/>
          <c:showPercent val="0"/>
          <c:showBubbleSize val="0"/>
        </c:dLbls>
        <c:gapWidth val="150"/>
        <c:axId val="130018688"/>
        <c:axId val="130020480"/>
      </c:barChart>
      <c:catAx>
        <c:axId val="130018688"/>
        <c:scaling>
          <c:orientation val="minMax"/>
        </c:scaling>
        <c:delete val="0"/>
        <c:axPos val="b"/>
        <c:majorTickMark val="out"/>
        <c:minorTickMark val="none"/>
        <c:tickLblPos val="nextTo"/>
        <c:txPr>
          <a:bodyPr/>
          <a:lstStyle/>
          <a:p>
            <a:pPr>
              <a:defRPr b="1"/>
            </a:pPr>
            <a:endParaRPr lang="en-US"/>
          </a:p>
        </c:txPr>
        <c:crossAx val="130020480"/>
        <c:crosses val="autoZero"/>
        <c:auto val="1"/>
        <c:lblAlgn val="ctr"/>
        <c:lblOffset val="100"/>
        <c:noMultiLvlLbl val="0"/>
      </c:catAx>
      <c:valAx>
        <c:axId val="130020480"/>
        <c:scaling>
          <c:orientation val="minMax"/>
        </c:scaling>
        <c:delete val="0"/>
        <c:axPos val="l"/>
        <c:numFmt formatCode="_(* #,##0.0_);_(* \(#,##0.0\);_(* &quot;-&quot;??_);_(@_)" sourceLinked="1"/>
        <c:majorTickMark val="out"/>
        <c:minorTickMark val="none"/>
        <c:tickLblPos val="nextTo"/>
        <c:crossAx val="130018688"/>
        <c:crosses val="autoZero"/>
        <c:crossBetween val="between"/>
      </c:valAx>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200"/>
          </a:pPr>
          <a:endParaRPr lang="en-US"/>
        </a:p>
      </c:txPr>
    </c:title>
    <c:autoTitleDeleted val="0"/>
    <c:plotArea>
      <c:layout/>
      <c:barChart>
        <c:barDir val="col"/>
        <c:grouping val="clustered"/>
        <c:varyColors val="0"/>
        <c:ser>
          <c:idx val="0"/>
          <c:order val="0"/>
          <c:tx>
            <c:strRef>
              <c:f>'Analysis of non HF states1 (2)'!$N$25</c:f>
              <c:strCache>
                <c:ptCount val="1"/>
                <c:pt idx="0">
                  <c:v> Mothers who received postnatal care from a doctor/nurse/LHV/ANM/midwife/otherhealth personnel within 2 days of delivery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Pt>
            <c:idx val="7"/>
            <c:invertIfNegative val="0"/>
            <c:bubble3D val="0"/>
            <c:spPr>
              <a:solidFill>
                <a:srgbClr val="00B0F0"/>
              </a:solidFill>
            </c:spPr>
          </c:dPt>
          <c:dPt>
            <c:idx val="9"/>
            <c:invertIfNegative val="0"/>
            <c:bubble3D val="0"/>
            <c:spPr>
              <a:solidFill>
                <a:srgbClr val="00B0F0"/>
              </a:solidFill>
            </c:spPr>
          </c:dPt>
          <c:dPt>
            <c:idx val="11"/>
            <c:invertIfNegative val="0"/>
            <c:bubble3D val="0"/>
            <c:spPr>
              <a:solidFill>
                <a:srgbClr val="00B0F0"/>
              </a:solidFill>
            </c:spPr>
          </c:dPt>
          <c:dPt>
            <c:idx val="13"/>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'Analysis of non HF states1 (2)'!$O$23:$AB$24</c:f>
              <c:multiLvlStrCache>
                <c:ptCount val="14"/>
                <c:lvl>
                  <c:pt idx="0">
                    <c:v>NFHS IV (2015-16)</c:v>
                  </c:pt>
                  <c:pt idx="1">
                    <c:v>NFHS III(2005-06)</c:v>
                  </c:pt>
                  <c:pt idx="2">
                    <c:v>NFHS IV (2015-16)</c:v>
                  </c:pt>
                  <c:pt idx="3">
                    <c:v>NFHS III(2005-06)</c:v>
                  </c:pt>
                  <c:pt idx="4">
                    <c:v>NFHS IV (2015-16)</c:v>
                  </c:pt>
                  <c:pt idx="5">
                    <c:v>NFHS III(2005-06)</c:v>
                  </c:pt>
                  <c:pt idx="6">
                    <c:v>NFHS IV (2015-16)</c:v>
                  </c:pt>
                  <c:pt idx="7">
                    <c:v>NFHS III(2005-06)</c:v>
                  </c:pt>
                  <c:pt idx="8">
                    <c:v>NFHS IV (2015-16)</c:v>
                  </c:pt>
                  <c:pt idx="9">
                    <c:v>NFHS III(2005-06)</c:v>
                  </c:pt>
                  <c:pt idx="10">
                    <c:v>NFHS IV (2015-16)</c:v>
                  </c:pt>
                  <c:pt idx="11">
                    <c:v>NFHS III(2005-06)</c:v>
                  </c:pt>
                  <c:pt idx="12">
                    <c:v>NFHS IV (2015-16)</c:v>
                  </c:pt>
                  <c:pt idx="13">
                    <c:v>NFHS III(2005-06)</c:v>
                  </c:pt>
                </c:lvl>
                <c:lvl>
                  <c:pt idx="0">
                    <c:v>Andhra Pradesh</c:v>
                  </c:pt>
                  <c:pt idx="2">
                    <c:v>Haryana</c:v>
                  </c:pt>
                  <c:pt idx="4">
                    <c:v>Karnataka</c:v>
                  </c:pt>
                  <c:pt idx="6">
                    <c:v>Maharashtra</c:v>
                  </c:pt>
                  <c:pt idx="8">
                    <c:v>Tamilnadu</c:v>
                  </c:pt>
                  <c:pt idx="10">
                    <c:v>Telangana</c:v>
                  </c:pt>
                  <c:pt idx="12">
                    <c:v>West Bengal</c:v>
                  </c:pt>
                </c:lvl>
              </c:multiLvlStrCache>
            </c:multiLvlStrRef>
          </c:cat>
          <c:val>
            <c:numRef>
              <c:f>'Analysis of non HF states1 (2)'!$O$25:$AB$25</c:f>
              <c:numCache>
                <c:formatCode>General</c:formatCode>
                <c:ptCount val="14"/>
                <c:pt idx="0" formatCode="_(* #,##0.0_);_(* \(#,##0.0\);_(* &quot;-&quot;??_);_(@_)">
                  <c:v>79.7</c:v>
                </c:pt>
                <c:pt idx="2" formatCode="_(* #,##0.0_);_(* \(#,##0.0\);_(* &quot;-&quot;??_);_(@_)">
                  <c:v>67.3</c:v>
                </c:pt>
                <c:pt idx="3" formatCode="_(* #,##0.0_);_(* \(#,##0.0\);_(* &quot;-&quot;??_);_(@_)">
                  <c:v>39.300000000000004</c:v>
                </c:pt>
                <c:pt idx="4" formatCode="_(* #,##0.0_);_(* \(#,##0.0\);_(* &quot;-&quot;??_);_(@_)">
                  <c:v>65.599999999999994</c:v>
                </c:pt>
                <c:pt idx="5" formatCode="_(* #,##0.0_);_(* \(#,##0.0\);_(* &quot;-&quot;??_);_(@_)">
                  <c:v>56.6</c:v>
                </c:pt>
                <c:pt idx="6">
                  <c:v>78.5</c:v>
                </c:pt>
                <c:pt idx="7">
                  <c:v>57.1</c:v>
                </c:pt>
                <c:pt idx="8" formatCode="_(* #,##0.0_);_(* \(#,##0.0\);_(* &quot;-&quot;??_);_(@_)">
                  <c:v>74.099999999999994</c:v>
                </c:pt>
                <c:pt idx="9" formatCode="_(* #,##0.0_);_(* \(#,##0.0\);_(* &quot;-&quot;??_);_(@_)">
                  <c:v>85.6</c:v>
                </c:pt>
                <c:pt idx="10" formatCode="_(* #,##0.0_);_(* \(#,##0.0\);_(* &quot;-&quot;??_);_(@_)">
                  <c:v>81.8</c:v>
                </c:pt>
                <c:pt idx="12" formatCode="_(* #,##0.0_);_(* \(#,##0.0\);_(* &quot;-&quot;??_);_(@_)">
                  <c:v>61.1</c:v>
                </c:pt>
                <c:pt idx="13" formatCode="_(* #,##0.0_);_(* \(#,##0.0\);_(* &quot;-&quot;??_);_(@_)">
                  <c:v>36.1</c:v>
                </c:pt>
              </c:numCache>
            </c:numRef>
          </c:val>
        </c:ser>
        <c:dLbls>
          <c:showLegendKey val="0"/>
          <c:showVal val="0"/>
          <c:showCatName val="0"/>
          <c:showSerName val="0"/>
          <c:showPercent val="0"/>
          <c:showBubbleSize val="0"/>
        </c:dLbls>
        <c:gapWidth val="150"/>
        <c:axId val="130179072"/>
        <c:axId val="130180608"/>
      </c:barChart>
      <c:catAx>
        <c:axId val="130179072"/>
        <c:scaling>
          <c:orientation val="minMax"/>
        </c:scaling>
        <c:delete val="0"/>
        <c:axPos val="b"/>
        <c:majorTickMark val="out"/>
        <c:minorTickMark val="none"/>
        <c:tickLblPos val="nextTo"/>
        <c:txPr>
          <a:bodyPr/>
          <a:lstStyle/>
          <a:p>
            <a:pPr>
              <a:defRPr b="1"/>
            </a:pPr>
            <a:endParaRPr lang="en-US"/>
          </a:p>
        </c:txPr>
        <c:crossAx val="130180608"/>
        <c:crosses val="autoZero"/>
        <c:auto val="1"/>
        <c:lblAlgn val="ctr"/>
        <c:lblOffset val="100"/>
        <c:noMultiLvlLbl val="0"/>
      </c:catAx>
      <c:valAx>
        <c:axId val="130180608"/>
        <c:scaling>
          <c:orientation val="minMax"/>
        </c:scaling>
        <c:delete val="0"/>
        <c:axPos val="l"/>
        <c:numFmt formatCode="_(* #,##0.0_);_(* \(#,##0.0\);_(* &quot;-&quot;??_);_(@_)" sourceLinked="1"/>
        <c:majorTickMark val="out"/>
        <c:minorTickMark val="none"/>
        <c:tickLblPos val="nextTo"/>
        <c:crossAx val="130179072"/>
        <c:crosses val="autoZero"/>
        <c:crossBetween val="between"/>
      </c:valAx>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'Analysis of non HF states1 (2)'!$N$30</c:f>
              <c:strCache>
                <c:ptCount val="1"/>
                <c:pt idx="0">
                  <c:v> Average out of pocket expenditure per delivery in public health facility (Rs.)</c:v>
                </c:pt>
              </c:strCache>
            </c:strRef>
          </c:tx>
          <c:spPr>
            <a:solidFill>
              <a:schemeClr val="accent2"/>
            </a:solidFill>
          </c:spPr>
          <c:invertIfNegative val="0"/>
          <c:dLbls>
            <c:txPr>
              <a:bodyPr/>
              <a:lstStyle/>
              <a:p>
                <a:pPr>
                  <a:defRPr b="1"/>
                </a:pPr>
                <a:endParaRPr lang="en-US"/>
              </a:p>
            </c:txPr>
            <c:showLegendKey val="0"/>
            <c:showVal val="1"/>
            <c:showCatName val="0"/>
            <c:showSerName val="0"/>
            <c:showPercent val="0"/>
            <c:showBubbleSize val="0"/>
            <c:showLeaderLines val="0"/>
          </c:dLbls>
          <c:cat>
            <c:strRef>
              <c:f>'Analysis of non HF states1 (2)'!$O$29:$T$29</c:f>
              <c:strCache>
                <c:ptCount val="6"/>
                <c:pt idx="0">
                  <c:v>Andhra Pradesh</c:v>
                </c:pt>
                <c:pt idx="1">
                  <c:v>Haryana</c:v>
                </c:pt>
                <c:pt idx="2">
                  <c:v>Karnataka</c:v>
                </c:pt>
                <c:pt idx="3">
                  <c:v>Maharashtra</c:v>
                </c:pt>
                <c:pt idx="4">
                  <c:v>Tamilnadu</c:v>
                </c:pt>
                <c:pt idx="5">
                  <c:v>Telangana</c:v>
                </c:pt>
              </c:strCache>
            </c:strRef>
          </c:cat>
          <c:val>
            <c:numRef>
              <c:f>'Analysis of non HF states1 (2)'!$O$30:$T$30</c:f>
              <c:numCache>
                <c:formatCode>_(* #,##0.0_);_(* \(#,##0.0\);_(* "-"??_);_(@_)</c:formatCode>
                <c:ptCount val="6"/>
                <c:pt idx="0">
                  <c:v>2138</c:v>
                </c:pt>
                <c:pt idx="1">
                  <c:v>1503</c:v>
                </c:pt>
                <c:pt idx="2">
                  <c:v>3893</c:v>
                </c:pt>
                <c:pt idx="3" formatCode="0.0">
                  <c:v>3487</c:v>
                </c:pt>
                <c:pt idx="4">
                  <c:v>2496</c:v>
                </c:pt>
                <c:pt idx="5">
                  <c:v>4020</c:v>
                </c:pt>
              </c:numCache>
            </c:numRef>
          </c:val>
        </c:ser>
        <c:dLbls>
          <c:showLegendKey val="0"/>
          <c:showVal val="0"/>
          <c:showCatName val="0"/>
          <c:showSerName val="0"/>
          <c:showPercent val="0"/>
          <c:showBubbleSize val="0"/>
        </c:dLbls>
        <c:gapWidth val="150"/>
        <c:axId val="130204800"/>
        <c:axId val="130206336"/>
      </c:barChart>
      <c:catAx>
        <c:axId val="130204800"/>
        <c:scaling>
          <c:orientation val="minMax"/>
        </c:scaling>
        <c:delete val="0"/>
        <c:axPos val="b"/>
        <c:majorTickMark val="out"/>
        <c:minorTickMark val="none"/>
        <c:tickLblPos val="nextTo"/>
        <c:txPr>
          <a:bodyPr/>
          <a:lstStyle/>
          <a:p>
            <a:pPr>
              <a:defRPr b="1"/>
            </a:pPr>
            <a:endParaRPr lang="en-US"/>
          </a:p>
        </c:txPr>
        <c:crossAx val="130206336"/>
        <c:crosses val="autoZero"/>
        <c:auto val="1"/>
        <c:lblAlgn val="ctr"/>
        <c:lblOffset val="100"/>
        <c:noMultiLvlLbl val="0"/>
      </c:catAx>
      <c:valAx>
        <c:axId val="130206336"/>
        <c:scaling>
          <c:orientation val="minMax"/>
        </c:scaling>
        <c:delete val="0"/>
        <c:axPos val="l"/>
        <c:numFmt formatCode="_(* #,##0.0_);_(* \(#,##0.0\);_(* &quot;-&quot;??_);_(@_)" sourceLinked="1"/>
        <c:majorTickMark val="out"/>
        <c:minorTickMark val="none"/>
        <c:tickLblPos val="nextTo"/>
        <c:crossAx val="130204800"/>
        <c:crosses val="autoZero"/>
        <c:crossBetween val="between"/>
      </c:valAx>
    </c:plotArea>
    <c:plotVisOnly val="1"/>
    <c:dispBlanksAs val="gap"/>
    <c:showDLblsOverMax val="0"/>
  </c:chart>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10.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1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12.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13.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14.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15.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16.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17.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18.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19.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0.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6.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7.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8.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9.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0.80653</cdr:x>
      <cdr:y>0.42081</cdr:y>
    </cdr:from>
    <cdr:to>
      <cdr:x>0.86066</cdr:x>
      <cdr:y>0.52231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632353" y="1318695"/>
          <a:ext cx="310899" cy="318073"/>
        </a:xfrm>
        <a:prstGeom xmlns:a="http://schemas.openxmlformats.org/drawingml/2006/main" prst="rect">
          <a:avLst/>
        </a:prstGeom>
      </cdr:spPr>
    </cdr:pic>
  </cdr:relSizeAnchor>
  <cdr:relSizeAnchor xmlns:cdr="http://schemas.openxmlformats.org/drawingml/2006/chartDrawing">
    <cdr:from>
      <cdr:x>0.17634</cdr:x>
      <cdr:y>0.39266</cdr:y>
    </cdr:from>
    <cdr:to>
      <cdr:x>0.23047</cdr:x>
      <cdr:y>0.49416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12825" y="1155700"/>
          <a:ext cx="310923" cy="298730"/>
        </a:xfrm>
        <a:prstGeom xmlns:a="http://schemas.openxmlformats.org/drawingml/2006/main" prst="rect">
          <a:avLst/>
        </a:prstGeom>
      </cdr:spPr>
    </cdr:pic>
  </cdr:relSizeAnchor>
</c:userShapes>
</file>

<file path=word/drawings/drawing10.xml><?xml version="1.0" encoding="utf-8"?>
<c:userShapes xmlns:c="http://schemas.openxmlformats.org/drawingml/2006/chart">
  <cdr:relSizeAnchor xmlns:cdr="http://schemas.openxmlformats.org/drawingml/2006/chartDrawing">
    <cdr:from>
      <cdr:x>0.76175</cdr:x>
      <cdr:y>0.40561</cdr:y>
    </cdr:from>
    <cdr:to>
      <cdr:x>0.81588</cdr:x>
      <cdr:y>0.50711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375150" y="1193800"/>
          <a:ext cx="310923" cy="298730"/>
        </a:xfrm>
        <a:prstGeom xmlns:a="http://schemas.openxmlformats.org/drawingml/2006/main" prst="rect">
          <a:avLst/>
        </a:prstGeom>
      </cdr:spPr>
    </cdr:pic>
  </cdr:relSizeAnchor>
  <cdr:relSizeAnchor xmlns:cdr="http://schemas.openxmlformats.org/drawingml/2006/chartDrawing">
    <cdr:from>
      <cdr:x>0.17468</cdr:x>
      <cdr:y>0.37648</cdr:y>
    </cdr:from>
    <cdr:to>
      <cdr:x>0.22882</cdr:x>
      <cdr:y>0.47798</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03300" y="1108075"/>
          <a:ext cx="310923" cy="298730"/>
        </a:xfrm>
        <a:prstGeom xmlns:a="http://schemas.openxmlformats.org/drawingml/2006/main" prst="rect">
          <a:avLst/>
        </a:prstGeom>
      </cdr:spPr>
    </cdr:pic>
  </cdr:relSizeAnchor>
</c:userShapes>
</file>

<file path=word/drawings/drawing11.xml><?xml version="1.0" encoding="utf-8"?>
<c:userShapes xmlns:c="http://schemas.openxmlformats.org/drawingml/2006/chart">
  <cdr:relSizeAnchor xmlns:cdr="http://schemas.openxmlformats.org/drawingml/2006/chartDrawing">
    <cdr:from>
      <cdr:x>0.77667</cdr:x>
      <cdr:y>0.33765</cdr:y>
    </cdr:from>
    <cdr:to>
      <cdr:x>0.83081</cdr:x>
      <cdr:y>0.43915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60875" y="993775"/>
          <a:ext cx="310923" cy="298730"/>
        </a:xfrm>
        <a:prstGeom xmlns:a="http://schemas.openxmlformats.org/drawingml/2006/main" prst="rect">
          <a:avLst/>
        </a:prstGeom>
      </cdr:spPr>
    </cdr:pic>
  </cdr:relSizeAnchor>
  <cdr:relSizeAnchor xmlns:cdr="http://schemas.openxmlformats.org/drawingml/2006/chartDrawing">
    <cdr:from>
      <cdr:x>0.19458</cdr:x>
      <cdr:y>0.34736</cdr:y>
    </cdr:from>
    <cdr:to>
      <cdr:x>0.24872</cdr:x>
      <cdr:y>0.44885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17600" y="1022350"/>
          <a:ext cx="310923" cy="298730"/>
        </a:xfrm>
        <a:prstGeom xmlns:a="http://schemas.openxmlformats.org/drawingml/2006/main" prst="rect">
          <a:avLst/>
        </a:prstGeom>
      </cdr:spPr>
    </cdr:pic>
  </cdr:relSizeAnchor>
</c:userShapes>
</file>

<file path=word/drawings/drawing12.xml><?xml version="1.0" encoding="utf-8"?>
<c:userShapes xmlns:c="http://schemas.openxmlformats.org/drawingml/2006/chart">
  <cdr:relSizeAnchor xmlns:cdr="http://schemas.openxmlformats.org/drawingml/2006/chartDrawing">
    <cdr:from>
      <cdr:x>0.74848</cdr:x>
      <cdr:y>0.42826</cdr:y>
    </cdr:from>
    <cdr:to>
      <cdr:x>0.80261</cdr:x>
      <cdr:y>0.52976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298950" y="1260475"/>
          <a:ext cx="310923" cy="298730"/>
        </a:xfrm>
        <a:prstGeom xmlns:a="http://schemas.openxmlformats.org/drawingml/2006/main" prst="rect">
          <a:avLst/>
        </a:prstGeom>
      </cdr:spPr>
    </cdr:pic>
  </cdr:relSizeAnchor>
  <cdr:relSizeAnchor xmlns:cdr="http://schemas.openxmlformats.org/drawingml/2006/chartDrawing">
    <cdr:from>
      <cdr:x>0.18297</cdr:x>
      <cdr:y>0.40561</cdr:y>
    </cdr:from>
    <cdr:to>
      <cdr:x>0.23936</cdr:x>
      <cdr:y>0.51133</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50925" y="1193800"/>
          <a:ext cx="323850" cy="311150"/>
        </a:xfrm>
        <a:prstGeom xmlns:a="http://schemas.openxmlformats.org/drawingml/2006/main" prst="rect">
          <a:avLst/>
        </a:prstGeom>
      </cdr:spPr>
    </cdr:pic>
  </cdr:relSizeAnchor>
</c:userShapes>
</file>

<file path=word/drawings/drawing13.xml><?xml version="1.0" encoding="utf-8"?>
<c:userShapes xmlns:c="http://schemas.openxmlformats.org/drawingml/2006/chart">
  <cdr:relSizeAnchor xmlns:cdr="http://schemas.openxmlformats.org/drawingml/2006/chartDrawing">
    <cdr:from>
      <cdr:x>0.74848</cdr:x>
      <cdr:y>0.46245</cdr:y>
    </cdr:from>
    <cdr:to>
      <cdr:x>0.81095</cdr:x>
      <cdr:y>0.5467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298950" y="1603375"/>
          <a:ext cx="358775" cy="292100"/>
        </a:xfrm>
        <a:prstGeom xmlns:a="http://schemas.openxmlformats.org/drawingml/2006/main" prst="rect">
          <a:avLst/>
        </a:prstGeom>
      </cdr:spPr>
    </cdr:pic>
  </cdr:relSizeAnchor>
  <cdr:relSizeAnchor xmlns:cdr="http://schemas.openxmlformats.org/drawingml/2006/chartDrawing">
    <cdr:from>
      <cdr:x>0.17302</cdr:x>
      <cdr:y>0.47894</cdr:y>
    </cdr:from>
    <cdr:to>
      <cdr:x>0.22716</cdr:x>
      <cdr:y>0.5651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93775" y="1660525"/>
          <a:ext cx="310923" cy="298730"/>
        </a:xfrm>
        <a:prstGeom xmlns:a="http://schemas.openxmlformats.org/drawingml/2006/main" prst="rect">
          <a:avLst/>
        </a:prstGeom>
      </cdr:spPr>
    </cdr:pic>
  </cdr:relSizeAnchor>
</c:userShapes>
</file>

<file path=word/drawings/drawing14.xml><?xml version="1.0" encoding="utf-8"?>
<c:userShapes xmlns:c="http://schemas.openxmlformats.org/drawingml/2006/chart">
  <cdr:relSizeAnchor xmlns:cdr="http://schemas.openxmlformats.org/drawingml/2006/chartDrawing">
    <cdr:from>
      <cdr:x>0.76009</cdr:x>
      <cdr:y>0.45245</cdr:y>
    </cdr:from>
    <cdr:to>
      <cdr:x>0.81422</cdr:x>
      <cdr:y>0.53932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365625" y="1555750"/>
          <a:ext cx="310923" cy="298730"/>
        </a:xfrm>
        <a:prstGeom xmlns:a="http://schemas.openxmlformats.org/drawingml/2006/main" prst="rect">
          <a:avLst/>
        </a:prstGeom>
      </cdr:spPr>
    </cdr:pic>
  </cdr:relSizeAnchor>
  <cdr:relSizeAnchor xmlns:cdr="http://schemas.openxmlformats.org/drawingml/2006/chartDrawing">
    <cdr:from>
      <cdr:x>0.17302</cdr:x>
      <cdr:y>0.47461</cdr:y>
    </cdr:from>
    <cdr:to>
      <cdr:x>0.22716</cdr:x>
      <cdr:y>0.56148</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93775" y="1631950"/>
          <a:ext cx="310923" cy="298730"/>
        </a:xfrm>
        <a:prstGeom xmlns:a="http://schemas.openxmlformats.org/drawingml/2006/main" prst="rect">
          <a:avLst/>
        </a:prstGeom>
      </cdr:spPr>
    </cdr:pic>
  </cdr:relSizeAnchor>
</c:userShapes>
</file>

<file path=word/drawings/drawing15.xml><?xml version="1.0" encoding="utf-8"?>
<c:userShapes xmlns:c="http://schemas.openxmlformats.org/drawingml/2006/chart">
  <cdr:relSizeAnchor xmlns:cdr="http://schemas.openxmlformats.org/drawingml/2006/chartDrawing">
    <cdr:from>
      <cdr:x>0.76672</cdr:x>
      <cdr:y>0.46917</cdr:y>
    </cdr:from>
    <cdr:to>
      <cdr:x>0.82086</cdr:x>
      <cdr:y>0.55982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03725" y="1546225"/>
          <a:ext cx="310923" cy="298730"/>
        </a:xfrm>
        <a:prstGeom xmlns:a="http://schemas.openxmlformats.org/drawingml/2006/main" prst="rect">
          <a:avLst/>
        </a:prstGeom>
      </cdr:spPr>
    </cdr:pic>
  </cdr:relSizeAnchor>
  <cdr:relSizeAnchor xmlns:cdr="http://schemas.openxmlformats.org/drawingml/2006/chartDrawing">
    <cdr:from>
      <cdr:x>0.17468</cdr:x>
      <cdr:y>0.45472</cdr:y>
    </cdr:from>
    <cdr:to>
      <cdr:x>0.22882</cdr:x>
      <cdr:y>0.54536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03300" y="1498600"/>
          <a:ext cx="310923" cy="298730"/>
        </a:xfrm>
        <a:prstGeom xmlns:a="http://schemas.openxmlformats.org/drawingml/2006/main" prst="rect">
          <a:avLst/>
        </a:prstGeom>
      </cdr:spPr>
    </cdr:pic>
  </cdr:relSizeAnchor>
</c:userShapes>
</file>

<file path=word/drawings/drawing16.xml><?xml version="1.0" encoding="utf-8"?>
<c:userShapes xmlns:c="http://schemas.openxmlformats.org/drawingml/2006/chart">
  <cdr:relSizeAnchor xmlns:cdr="http://schemas.openxmlformats.org/drawingml/2006/chartDrawing">
    <cdr:from>
      <cdr:x>0.76506</cdr:x>
      <cdr:y>0.43461</cdr:y>
    </cdr:from>
    <cdr:to>
      <cdr:x>0.8192</cdr:x>
      <cdr:y>0.52713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394200" y="1403350"/>
          <a:ext cx="310923" cy="298730"/>
        </a:xfrm>
        <a:prstGeom xmlns:a="http://schemas.openxmlformats.org/drawingml/2006/main" prst="rect">
          <a:avLst/>
        </a:prstGeom>
      </cdr:spPr>
    </cdr:pic>
  </cdr:relSizeAnchor>
  <cdr:relSizeAnchor xmlns:cdr="http://schemas.openxmlformats.org/drawingml/2006/chartDrawing">
    <cdr:from>
      <cdr:x>0.17468</cdr:x>
      <cdr:y>0.41101</cdr:y>
    </cdr:from>
    <cdr:to>
      <cdr:x>0.22882</cdr:x>
      <cdr:y>0.50353</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03300" y="1327150"/>
          <a:ext cx="310923" cy="298730"/>
        </a:xfrm>
        <a:prstGeom xmlns:a="http://schemas.openxmlformats.org/drawingml/2006/main" prst="rect">
          <a:avLst/>
        </a:prstGeom>
      </cdr:spPr>
    </cdr:pic>
  </cdr:relSizeAnchor>
</c:userShapes>
</file>

<file path=word/drawings/drawing17.xml><?xml version="1.0" encoding="utf-8"?>
<c:userShapes xmlns:c="http://schemas.openxmlformats.org/drawingml/2006/chart">
  <cdr:relSizeAnchor xmlns:cdr="http://schemas.openxmlformats.org/drawingml/2006/chartDrawing">
    <cdr:from>
      <cdr:x>0.75843</cdr:x>
      <cdr:y>0.40561</cdr:y>
    </cdr:from>
    <cdr:to>
      <cdr:x>0.81256</cdr:x>
      <cdr:y>0.50711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356100" y="1193800"/>
          <a:ext cx="310923" cy="298730"/>
        </a:xfrm>
        <a:prstGeom xmlns:a="http://schemas.openxmlformats.org/drawingml/2006/main" prst="rect">
          <a:avLst/>
        </a:prstGeom>
      </cdr:spPr>
    </cdr:pic>
  </cdr:relSizeAnchor>
  <cdr:relSizeAnchor xmlns:cdr="http://schemas.openxmlformats.org/drawingml/2006/chartDrawing">
    <cdr:from>
      <cdr:x>0.15644</cdr:x>
      <cdr:y>0.37972</cdr:y>
    </cdr:from>
    <cdr:to>
      <cdr:x>0.21057</cdr:x>
      <cdr:y>0.48122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98525" y="1117600"/>
          <a:ext cx="310923" cy="298730"/>
        </a:xfrm>
        <a:prstGeom xmlns:a="http://schemas.openxmlformats.org/drawingml/2006/main" prst="rect">
          <a:avLst/>
        </a:prstGeom>
      </cdr:spPr>
    </cdr:pic>
  </cdr:relSizeAnchor>
</c:userShapes>
</file>

<file path=word/drawings/drawing18.xml><?xml version="1.0" encoding="utf-8"?>
<c:userShapes xmlns:c="http://schemas.openxmlformats.org/drawingml/2006/chart">
  <cdr:relSizeAnchor xmlns:cdr="http://schemas.openxmlformats.org/drawingml/2006/chartDrawing">
    <cdr:from>
      <cdr:x>0.75677</cdr:x>
      <cdr:y>0.40237</cdr:y>
    </cdr:from>
    <cdr:to>
      <cdr:x>0.81091</cdr:x>
      <cdr:y>0.50387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346575" y="1184275"/>
          <a:ext cx="310923" cy="298730"/>
        </a:xfrm>
        <a:prstGeom xmlns:a="http://schemas.openxmlformats.org/drawingml/2006/main" prst="rect">
          <a:avLst/>
        </a:prstGeom>
      </cdr:spPr>
    </cdr:pic>
  </cdr:relSizeAnchor>
  <cdr:relSizeAnchor xmlns:cdr="http://schemas.openxmlformats.org/drawingml/2006/chartDrawing">
    <cdr:from>
      <cdr:x>0.18463</cdr:x>
      <cdr:y>0.40885</cdr:y>
    </cdr:from>
    <cdr:to>
      <cdr:x>0.23877</cdr:x>
      <cdr:y>0.51034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60450" y="1203325"/>
          <a:ext cx="310923" cy="298730"/>
        </a:xfrm>
        <a:prstGeom xmlns:a="http://schemas.openxmlformats.org/drawingml/2006/main" prst="rect">
          <a:avLst/>
        </a:prstGeom>
      </cdr:spPr>
    </cdr:pic>
  </cdr:relSizeAnchor>
</c:userShapes>
</file>

<file path=word/drawings/drawing19.xml><?xml version="1.0" encoding="utf-8"?>
<c:userShapes xmlns:c="http://schemas.openxmlformats.org/drawingml/2006/chart">
  <cdr:relSizeAnchor xmlns:cdr="http://schemas.openxmlformats.org/drawingml/2006/chartDrawing">
    <cdr:from>
      <cdr:x>0.17137</cdr:x>
      <cdr:y>0.35707</cdr:y>
    </cdr:from>
    <cdr:to>
      <cdr:x>0.2255</cdr:x>
      <cdr:y>0.45856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84250" y="1050925"/>
          <a:ext cx="310923" cy="298730"/>
        </a:xfrm>
        <a:prstGeom xmlns:a="http://schemas.openxmlformats.org/drawingml/2006/main" prst="rect">
          <a:avLst/>
        </a:prstGeom>
      </cdr:spPr>
    </cdr:pic>
  </cdr:relSizeAnchor>
  <cdr:relSizeAnchor xmlns:cdr="http://schemas.openxmlformats.org/drawingml/2006/chartDrawing">
    <cdr:from>
      <cdr:x>0.76341</cdr:x>
      <cdr:y>0.42826</cdr:y>
    </cdr:from>
    <cdr:to>
      <cdr:x>0.81754</cdr:x>
      <cdr:y>0.52976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384675" y="1260475"/>
          <a:ext cx="310923" cy="29873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0.79989</cdr:x>
      <cdr:y>0.37451</cdr:y>
    </cdr:from>
    <cdr:to>
      <cdr:x>0.85402</cdr:x>
      <cdr:y>0.47602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594245" y="1173627"/>
          <a:ext cx="310899" cy="318074"/>
        </a:xfrm>
        <a:prstGeom xmlns:a="http://schemas.openxmlformats.org/drawingml/2006/main" prst="rect">
          <a:avLst/>
        </a:prstGeom>
      </cdr:spPr>
    </cdr:pic>
  </cdr:relSizeAnchor>
  <cdr:relSizeAnchor xmlns:cdr="http://schemas.openxmlformats.org/drawingml/2006/chartDrawing">
    <cdr:from>
      <cdr:x>0.16971</cdr:x>
      <cdr:y>0.43474</cdr:y>
    </cdr:from>
    <cdr:to>
      <cdr:x>0.22384</cdr:x>
      <cdr:y>0.53623</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74725" y="1279525"/>
          <a:ext cx="310923" cy="298730"/>
        </a:xfrm>
        <a:prstGeom xmlns:a="http://schemas.openxmlformats.org/drawingml/2006/main" prst="rect">
          <a:avLst/>
        </a:prstGeom>
      </cdr:spPr>
    </cdr:pic>
  </cdr:relSizeAnchor>
</c:userShapes>
</file>

<file path=word/drawings/drawing20.xml><?xml version="1.0" encoding="utf-8"?>
<c:userShapes xmlns:c="http://schemas.openxmlformats.org/drawingml/2006/chart">
  <cdr:relSizeAnchor xmlns:cdr="http://schemas.openxmlformats.org/drawingml/2006/chartDrawing">
    <cdr:from>
      <cdr:x>0.17468</cdr:x>
      <cdr:y>0.41532</cdr:y>
    </cdr:from>
    <cdr:to>
      <cdr:x>0.22882</cdr:x>
      <cdr:y>0.51682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03300" y="1222375"/>
          <a:ext cx="310923" cy="298730"/>
        </a:xfrm>
        <a:prstGeom xmlns:a="http://schemas.openxmlformats.org/drawingml/2006/main" prst="rect">
          <a:avLst/>
        </a:prstGeom>
      </cdr:spPr>
    </cdr:pic>
  </cdr:relSizeAnchor>
  <cdr:relSizeAnchor xmlns:cdr="http://schemas.openxmlformats.org/drawingml/2006/chartDrawing">
    <cdr:from>
      <cdr:x>0.7717</cdr:x>
      <cdr:y>0.37325</cdr:y>
    </cdr:from>
    <cdr:to>
      <cdr:x>0.82583</cdr:x>
      <cdr:y>0.47474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32300" y="1098550"/>
          <a:ext cx="310923" cy="298730"/>
        </a:xfrm>
        <a:prstGeom xmlns:a="http://schemas.openxmlformats.org/drawingml/2006/main" prst="rect">
          <a:avLst/>
        </a:prstGeom>
      </cdr:spPr>
    </cdr:pic>
  </cdr:relSizeAnchor>
</c:userShapes>
</file>

<file path=word/drawings/drawing21.xml><?xml version="1.0" encoding="utf-8"?>
<c:userShapes xmlns:c="http://schemas.openxmlformats.org/drawingml/2006/chart">
  <cdr:relSizeAnchor xmlns:cdr="http://schemas.openxmlformats.org/drawingml/2006/chartDrawing">
    <cdr:from>
      <cdr:x>0.77004</cdr:x>
      <cdr:y>0.39266</cdr:y>
    </cdr:from>
    <cdr:to>
      <cdr:x>0.82417</cdr:x>
      <cdr:y>0.49416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22775" y="1155700"/>
          <a:ext cx="310923" cy="298730"/>
        </a:xfrm>
        <a:prstGeom xmlns:a="http://schemas.openxmlformats.org/drawingml/2006/main" prst="rect">
          <a:avLst/>
        </a:prstGeom>
      </cdr:spPr>
    </cdr:pic>
  </cdr:relSizeAnchor>
  <cdr:relSizeAnchor xmlns:cdr="http://schemas.openxmlformats.org/drawingml/2006/chartDrawing">
    <cdr:from>
      <cdr:x>0.17302</cdr:x>
      <cdr:y>0.36677</cdr:y>
    </cdr:from>
    <cdr:to>
      <cdr:x>0.22716</cdr:x>
      <cdr:y>0.46827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93775" y="1079500"/>
          <a:ext cx="310923" cy="298730"/>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0.79824</cdr:x>
      <cdr:y>0.39953</cdr:y>
    </cdr:from>
    <cdr:to>
      <cdr:x>0.85237</cdr:x>
      <cdr:y>0.50103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584728" y="1252020"/>
          <a:ext cx="310899" cy="318073"/>
        </a:xfrm>
        <a:prstGeom xmlns:a="http://schemas.openxmlformats.org/drawingml/2006/main" prst="rect">
          <a:avLst/>
        </a:prstGeom>
      </cdr:spPr>
    </cdr:pic>
  </cdr:relSizeAnchor>
  <cdr:relSizeAnchor xmlns:cdr="http://schemas.openxmlformats.org/drawingml/2006/chartDrawing">
    <cdr:from>
      <cdr:x>0.17634</cdr:x>
      <cdr:y>0.39266</cdr:y>
    </cdr:from>
    <cdr:to>
      <cdr:x>0.23047</cdr:x>
      <cdr:y>0.49416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12825" y="1155700"/>
          <a:ext cx="310923" cy="298730"/>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0.77004</cdr:x>
      <cdr:y>0.41532</cdr:y>
    </cdr:from>
    <cdr:to>
      <cdr:x>0.82417</cdr:x>
      <cdr:y>0.51682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22775" y="1222375"/>
          <a:ext cx="310923" cy="298730"/>
        </a:xfrm>
        <a:prstGeom xmlns:a="http://schemas.openxmlformats.org/drawingml/2006/main" prst="rect">
          <a:avLst/>
        </a:prstGeom>
      </cdr:spPr>
    </cdr:pic>
  </cdr:relSizeAnchor>
  <cdr:relSizeAnchor xmlns:cdr="http://schemas.openxmlformats.org/drawingml/2006/chartDrawing">
    <cdr:from>
      <cdr:x>0.17634</cdr:x>
      <cdr:y>0.39266</cdr:y>
    </cdr:from>
    <cdr:to>
      <cdr:x>0.23047</cdr:x>
      <cdr:y>0.49416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12825" y="1155700"/>
          <a:ext cx="310923" cy="298730"/>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0.76672</cdr:x>
      <cdr:y>0.42503</cdr:y>
    </cdr:from>
    <cdr:to>
      <cdr:x>0.82086</cdr:x>
      <cdr:y>0.52652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03725" y="1250950"/>
          <a:ext cx="310923" cy="298730"/>
        </a:xfrm>
        <a:prstGeom xmlns:a="http://schemas.openxmlformats.org/drawingml/2006/main" prst="rect">
          <a:avLst/>
        </a:prstGeom>
      </cdr:spPr>
    </cdr:pic>
  </cdr:relSizeAnchor>
  <cdr:relSizeAnchor xmlns:cdr="http://schemas.openxmlformats.org/drawingml/2006/chartDrawing">
    <cdr:from>
      <cdr:x>0.16971</cdr:x>
      <cdr:y>0.37001</cdr:y>
    </cdr:from>
    <cdr:to>
      <cdr:x>0.22384</cdr:x>
      <cdr:y>0.47151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74725" y="1089025"/>
          <a:ext cx="310923" cy="298730"/>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0.178</cdr:x>
      <cdr:y>0.39266</cdr:y>
    </cdr:from>
    <cdr:to>
      <cdr:x>0.23213</cdr:x>
      <cdr:y>0.49416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22350" y="1155700"/>
          <a:ext cx="310923" cy="298730"/>
        </a:xfrm>
        <a:prstGeom xmlns:a="http://schemas.openxmlformats.org/drawingml/2006/main" prst="rect">
          <a:avLst/>
        </a:prstGeom>
      </cdr:spPr>
    </cdr:pic>
  </cdr:relSizeAnchor>
  <cdr:relSizeAnchor xmlns:cdr="http://schemas.openxmlformats.org/drawingml/2006/chartDrawing">
    <cdr:from>
      <cdr:x>0.75843</cdr:x>
      <cdr:y>0.37972</cdr:y>
    </cdr:from>
    <cdr:to>
      <cdr:x>0.81256</cdr:x>
      <cdr:y>0.48122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356100" y="1117600"/>
          <a:ext cx="310923" cy="298730"/>
        </a:xfrm>
        <a:prstGeom xmlns:a="http://schemas.openxmlformats.org/drawingml/2006/main" prst="rect">
          <a:avLst/>
        </a:prstGeom>
      </cdr:spPr>
    </cdr:pic>
  </cdr:relSizeAnchor>
</c:userShapes>
</file>

<file path=word/drawings/drawing7.xml><?xml version="1.0" encoding="utf-8"?>
<c:userShapes xmlns:c="http://schemas.openxmlformats.org/drawingml/2006/chart">
  <cdr:relSizeAnchor xmlns:cdr="http://schemas.openxmlformats.org/drawingml/2006/chartDrawing">
    <cdr:from>
      <cdr:x>0.76009</cdr:x>
      <cdr:y>0.35059</cdr:y>
    </cdr:from>
    <cdr:to>
      <cdr:x>0.81422</cdr:x>
      <cdr:y>0.45209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365625" y="1031875"/>
          <a:ext cx="310923" cy="298730"/>
        </a:xfrm>
        <a:prstGeom xmlns:a="http://schemas.openxmlformats.org/drawingml/2006/main" prst="rect">
          <a:avLst/>
        </a:prstGeom>
      </cdr:spPr>
    </cdr:pic>
  </cdr:relSizeAnchor>
  <cdr:relSizeAnchor xmlns:cdr="http://schemas.openxmlformats.org/drawingml/2006/chartDrawing">
    <cdr:from>
      <cdr:x>0.17966</cdr:x>
      <cdr:y>0.31176</cdr:y>
    </cdr:from>
    <cdr:to>
      <cdr:x>0.23379</cdr:x>
      <cdr:y>0.41326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31875" y="917575"/>
          <a:ext cx="310923" cy="298730"/>
        </a:xfrm>
        <a:prstGeom xmlns:a="http://schemas.openxmlformats.org/drawingml/2006/main" prst="rect">
          <a:avLst/>
        </a:prstGeom>
      </cdr:spPr>
    </cdr:pic>
  </cdr:relSizeAnchor>
</c:userShapes>
</file>

<file path=word/drawings/drawing8.xml><?xml version="1.0" encoding="utf-8"?>
<c:userShapes xmlns:c="http://schemas.openxmlformats.org/drawingml/2006/chart">
  <cdr:relSizeAnchor xmlns:cdr="http://schemas.openxmlformats.org/drawingml/2006/chartDrawing">
    <cdr:from>
      <cdr:x>0.76672</cdr:x>
      <cdr:y>0.49821</cdr:y>
    </cdr:from>
    <cdr:to>
      <cdr:x>0.82086</cdr:x>
      <cdr:y>0.58252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03725" y="1765300"/>
          <a:ext cx="310923" cy="298730"/>
        </a:xfrm>
        <a:prstGeom xmlns:a="http://schemas.openxmlformats.org/drawingml/2006/main" prst="rect">
          <a:avLst/>
        </a:prstGeom>
      </cdr:spPr>
    </cdr:pic>
  </cdr:relSizeAnchor>
  <cdr:relSizeAnchor xmlns:cdr="http://schemas.openxmlformats.org/drawingml/2006/chartDrawing">
    <cdr:from>
      <cdr:x>0.16473</cdr:x>
      <cdr:y>0.44444</cdr:y>
    </cdr:from>
    <cdr:to>
      <cdr:x>0.21887</cdr:x>
      <cdr:y>0.52875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46150" y="1574800"/>
          <a:ext cx="310923" cy="298730"/>
        </a:xfrm>
        <a:prstGeom xmlns:a="http://schemas.openxmlformats.org/drawingml/2006/main" prst="rect">
          <a:avLst/>
        </a:prstGeom>
      </cdr:spPr>
    </cdr:pic>
  </cdr:relSizeAnchor>
</c:userShapes>
</file>

<file path=word/drawings/drawing9.xml><?xml version="1.0" encoding="utf-8"?>
<c:userShapes xmlns:c="http://schemas.openxmlformats.org/drawingml/2006/chart">
  <cdr:relSizeAnchor xmlns:cdr="http://schemas.openxmlformats.org/drawingml/2006/chartDrawing">
    <cdr:from>
      <cdr:x>0.78165</cdr:x>
      <cdr:y>0.30205</cdr:y>
    </cdr:from>
    <cdr:to>
      <cdr:x>0.83578</cdr:x>
      <cdr:y>0.42071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89450" y="889000"/>
          <a:ext cx="310923" cy="349250"/>
        </a:xfrm>
        <a:prstGeom xmlns:a="http://schemas.openxmlformats.org/drawingml/2006/main" prst="rect">
          <a:avLst/>
        </a:prstGeom>
      </cdr:spPr>
    </cdr:pic>
  </cdr:relSizeAnchor>
  <cdr:relSizeAnchor xmlns:cdr="http://schemas.openxmlformats.org/drawingml/2006/chartDrawing">
    <cdr:from>
      <cdr:x>0.18795</cdr:x>
      <cdr:y>0.30852</cdr:y>
    </cdr:from>
    <cdr:to>
      <cdr:x>0.24208</cdr:x>
      <cdr:y>0.41002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79500" y="908050"/>
          <a:ext cx="310923" cy="29873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2016-02-17T00:00:00</PublishDate>
  <Abstract>Analysis – Non High Focus  Large States – AP, Haryana, Karnataka, Maharashtra, Tamil Nadu, Telangana &amp; West Bengal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NFHS IV</vt:lpstr>
    </vt:vector>
  </TitlesOfParts>
  <Company>NHSRC</Company>
  <LinksUpToDate>false</LinksUpToDate>
  <CharactersWithSpaces>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NFHS IV</dc:title>
  <dc:creator>Microsoft</dc:creator>
  <cp:lastModifiedBy>NHSRCPC021</cp:lastModifiedBy>
  <cp:revision>2</cp:revision>
  <cp:lastPrinted>2016-03-23T05:23:00Z</cp:lastPrinted>
  <dcterms:created xsi:type="dcterms:W3CDTF">2016-06-08T10:08:00Z</dcterms:created>
  <dcterms:modified xsi:type="dcterms:W3CDTF">2016-06-08T10:08:00Z</dcterms:modified>
</cp:coreProperties>
</file>