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79D0C" w14:textId="0493F58D" w:rsidR="004A2E40" w:rsidRPr="004A2E40" w:rsidRDefault="005A40DE" w:rsidP="005A40DE">
      <w:pPr>
        <w:rPr>
          <w:sz w:val="16"/>
        </w:rPr>
      </w:pPr>
      <w:r>
        <w:rPr>
          <w:noProof/>
          <w:sz w:val="16"/>
        </w:rPr>
        <w:tab/>
      </w:r>
      <w:r>
        <w:rPr>
          <w:noProof/>
          <w:sz w:val="16"/>
        </w:rPr>
        <w:tab/>
      </w:r>
      <w:r>
        <w:rPr>
          <w:noProof/>
          <w:sz w:val="16"/>
        </w:rPr>
        <w:tab/>
      </w:r>
      <w:r>
        <w:rPr>
          <w:noProof/>
          <w:sz w:val="16"/>
        </w:rPr>
        <w:tab/>
      </w:r>
      <w:r>
        <w:rPr>
          <w:noProof/>
          <w:sz w:val="16"/>
        </w:rPr>
        <w:tab/>
        <w:t xml:space="preserve">  </w:t>
      </w:r>
      <w:r w:rsidRPr="005A40DE">
        <w:rPr>
          <w:noProof/>
          <w:sz w:val="16"/>
        </w:rPr>
        <w:t xml:space="preserve"> </w:t>
      </w:r>
      <w:r>
        <w:rPr>
          <w:noProof/>
          <w:sz w:val="16"/>
        </w:rPr>
        <w:tab/>
      </w:r>
      <w:r>
        <w:rPr>
          <w:noProof/>
          <w:sz w:val="16"/>
        </w:rPr>
        <w:tab/>
      </w:r>
      <w:r>
        <w:rPr>
          <w:noProof/>
          <w:sz w:val="16"/>
        </w:rPr>
        <w:tab/>
      </w:r>
      <w:r>
        <w:rPr>
          <w:noProof/>
          <w:sz w:val="16"/>
        </w:rPr>
        <w:tab/>
        <w:t xml:space="preserve"> </w:t>
      </w:r>
    </w:p>
    <w:tbl>
      <w:tblPr>
        <w:tblStyle w:val="TableGrid"/>
        <w:tblW w:w="10260" w:type="dxa"/>
        <w:tblInd w:w="-522" w:type="dxa"/>
        <w:tblLayout w:type="fixed"/>
        <w:tblLook w:val="04A0" w:firstRow="1" w:lastRow="0" w:firstColumn="1" w:lastColumn="0" w:noHBand="0" w:noVBand="1"/>
      </w:tblPr>
      <w:tblGrid>
        <w:gridCol w:w="10260"/>
      </w:tblGrid>
      <w:tr w:rsidR="007F4077" w14:paraId="30C301D8" w14:textId="77777777" w:rsidTr="009871CF">
        <w:trPr>
          <w:trHeight w:val="539"/>
        </w:trPr>
        <w:tc>
          <w:tcPr>
            <w:tcW w:w="10260" w:type="dxa"/>
          </w:tcPr>
          <w:p w14:paraId="3BE08E61" w14:textId="77777777" w:rsidR="007F4077" w:rsidRDefault="002B7C6C" w:rsidP="00BB616A">
            <w:pPr>
              <w:jc w:val="center"/>
            </w:pPr>
            <w:r>
              <w:rPr>
                <w:noProof/>
                <w:lang w:val="en-IN" w:eastAsia="en-IN"/>
              </w:rPr>
              <mc:AlternateContent>
                <mc:Choice Requires="wps">
                  <w:drawing>
                    <wp:inline distT="0" distB="0" distL="0" distR="0" wp14:anchorId="2AFDF42B" wp14:editId="6B8CF11B">
                      <wp:extent cx="5810250" cy="285750"/>
                      <wp:effectExtent l="19050" t="19050" r="9525" b="9525"/>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10250" cy="285750"/>
                              </a:xfrm>
                              <a:prstGeom prst="rect">
                                <a:avLst/>
                              </a:prstGeom>
                              <a:extLst>
                                <a:ext uri="{AF507438-7753-43E0-B8FC-AC1667EBCBE1}">
                                  <a14:hiddenEffects xmlns:a14="http://schemas.microsoft.com/office/drawing/2010/main">
                                    <a:effectLst/>
                                  </a14:hiddenEffects>
                                </a:ext>
                              </a:extLst>
                            </wps:spPr>
                            <wps:txbx>
                              <w:txbxContent>
                                <w:p w14:paraId="27382A5F" w14:textId="685F77A1" w:rsidR="002B7C6C" w:rsidRPr="008A16CA" w:rsidRDefault="009D349F" w:rsidP="002B7C6C">
                                  <w:pPr>
                                    <w:pStyle w:val="NormalWeb"/>
                                    <w:spacing w:before="0" w:beforeAutospacing="0" w:after="0" w:afterAutospacing="0"/>
                                    <w:jc w:val="center"/>
                                    <w:rPr>
                                      <w:color w:val="0000CC"/>
                                      <w:sz w:val="18"/>
                                      <w:szCs w:val="18"/>
                                      <w14:props3d w14:extrusionH="430199" w14:contourW="0" w14:prstMaterial="legacyMatte">
                                        <w14:extrusionClr>
                                          <w14:srgbClr w14:val="000000"/>
                                        </w14:extrusionClr>
                                        <w14:contourClr>
                                          <w14:srgbClr w14:val="0070C0"/>
                                        </w14:contourClr>
                                      </w14:props3d>
                                    </w:rPr>
                                  </w:pPr>
                                  <w:r>
                                    <w:rPr>
                                      <w:rFonts w:ascii="Arial Black" w:hAnsi="Arial Black"/>
                                      <w:color w:val="0000CC"/>
                                      <w:sz w:val="22"/>
                                      <w:szCs w:val="22"/>
                                      <w14:props3d w14:extrusionH="430199" w14:contourW="0" w14:prstMaterial="legacyMatte">
                                        <w14:extrusionClr>
                                          <w14:srgbClr w14:val="000000"/>
                                        </w14:extrusionClr>
                                        <w14:contourClr>
                                          <w14:srgbClr w14:val="0070C0"/>
                                        </w14:contourClr>
                                      </w14:props3d>
                                    </w:rPr>
                                    <w:t>Inputs/Comments for NQAS</w:t>
                                  </w:r>
                                </w:p>
                              </w:txbxContent>
                            </wps:txbx>
                            <wps:bodyPr wrap="square" numCol="1" fromWordArt="1">
                              <a:prstTxWarp prst="textPlain">
                                <a:avLst>
                                  <a:gd name="adj" fmla="val 50000"/>
                                </a:avLst>
                              </a:prstTxWarp>
                              <a:spAutoFit/>
                              <a:scene3d>
                                <a:camera prst="legacyObliqueFront"/>
                                <a:lightRig rig="legacyFlat3" dir="b"/>
                              </a:scene3d>
                              <a:sp3d extrusionH="430200" prstMaterial="legacyMatte">
                                <a:extrusionClr>
                                  <a:srgbClr val="000000"/>
                                </a:extrusionClr>
                                <a:contourClr>
                                  <a:srgbClr val="0070C0"/>
                                </a:contourClr>
                              </a:sp3d>
                            </wps:bodyPr>
                          </wps:wsp>
                        </a:graphicData>
                      </a:graphic>
                    </wp:inline>
                  </w:drawing>
                </mc:Choice>
                <mc:Fallback>
                  <w:pict>
                    <v:shapetype w14:anchorId="2AFDF42B" id="_x0000_t202" coordsize="21600,21600" o:spt="202" path="m,l,21600r21600,l21600,xe">
                      <v:stroke joinstyle="miter"/>
                      <v:path gradientshapeok="t" o:connecttype="rect"/>
                    </v:shapetype>
                    <v:shape id="WordArt 4" o:spid="_x0000_s1026" type="#_x0000_t202" style="width:45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" filled="f" stroked="f">
                      <o:lock v:ext="edit" shapetype="t"/>
                      <v:textbox style="mso-fit-shape-to-text:t">
                        <w:txbxContent>
                          <w:p w14:paraId="27382A5F" w14:textId="685F77A1" w:rsidR="002B7C6C" w:rsidRPr="008A16CA" w:rsidRDefault="009D349F" w:rsidP="002B7C6C">
                            <w:pPr>
                              <w:pStyle w:val="NormalWeb"/>
                              <w:spacing w:before="0" w:beforeAutospacing="0" w:after="0" w:afterAutospacing="0"/>
                              <w:jc w:val="center"/>
                              <w:rPr>
                                <w:color w:val="0000CC"/>
                                <w:sz w:val="18"/>
                                <w:szCs w:val="18"/>
                                <w14:props3d w14:extrusionH="430199" w14:contourW="0" w14:prstMaterial="legacyMatte">
                                  <w14:extrusionClr>
                                    <w14:srgbClr w14:val="000000"/>
                                  </w14:extrusionClr>
                                  <w14:contourClr>
                                    <w14:srgbClr w14:val="0070C0"/>
                                  </w14:contourClr>
                                </w14:props3d>
                              </w:rPr>
                            </w:pPr>
                            <w:r>
                              <w:rPr>
                                <w:rFonts w:ascii="Arial Black" w:hAnsi="Arial Black"/>
                                <w:color w:val="0000CC"/>
                                <w:sz w:val="22"/>
                                <w:szCs w:val="22"/>
                                <w14:props3d w14:extrusionH="430199" w14:contourW="0" w14:prstMaterial="legacyMatte">
                                  <w14:extrusionClr>
                                    <w14:srgbClr w14:val="000000"/>
                                  </w14:extrusionClr>
                                  <w14:contourClr>
                                    <w14:srgbClr w14:val="0070C0"/>
                                  </w14:contourClr>
                                </w14:props3d>
                              </w:rPr>
                              <w:t>Inputs/Comments for NQAS</w:t>
                            </w:r>
                          </w:p>
                        </w:txbxContent>
                      </v:textbox>
                      <w10:anchorlock/>
                    </v:shape>
                  </w:pict>
                </mc:Fallback>
              </mc:AlternateContent>
            </w:r>
          </w:p>
        </w:tc>
      </w:tr>
      <w:tr w:rsidR="00C02C5B" w14:paraId="5A546452" w14:textId="77777777" w:rsidTr="00982A43">
        <w:trPr>
          <w:trHeight w:val="6740"/>
        </w:trPr>
        <w:tc>
          <w:tcPr>
            <w:tcW w:w="10260" w:type="dxa"/>
          </w:tcPr>
          <w:p w14:paraId="442A96CE" w14:textId="1AA74D49" w:rsidR="005757C0" w:rsidRPr="00982A43" w:rsidRDefault="008309E2" w:rsidP="00B40ED2">
            <w:pPr>
              <w:jc w:val="center"/>
              <w:rPr>
                <w:rFonts w:asciiTheme="majorHAnsi" w:hAnsiTheme="majorHAnsi"/>
                <w:sz w:val="32"/>
                <w:szCs w:val="32"/>
                <w:u w:val="single"/>
              </w:rPr>
            </w:pPr>
            <w:r w:rsidRPr="00982A43">
              <w:rPr>
                <w:rFonts w:asciiTheme="majorHAnsi" w:hAnsiTheme="majorHAnsi"/>
                <w:sz w:val="32"/>
                <w:szCs w:val="32"/>
                <w:u w:val="single"/>
              </w:rPr>
              <w:t>Call for inputs to revise National Quality Assurance Standards</w:t>
            </w:r>
          </w:p>
          <w:p w14:paraId="30E846C9" w14:textId="6F2EFF18" w:rsidR="00C02C5B" w:rsidRPr="009871CF" w:rsidRDefault="00A37AFA" w:rsidP="005757C0">
            <w:pPr>
              <w:jc w:val="right"/>
              <w:rPr>
                <w:rFonts w:asciiTheme="majorHAnsi" w:hAnsiTheme="majorHAnsi"/>
              </w:rPr>
            </w:pPr>
            <w:r>
              <w:rPr>
                <w:rFonts w:asciiTheme="majorHAnsi" w:hAnsiTheme="majorHAnsi"/>
              </w:rPr>
              <w:t>Dated: 13</w:t>
            </w:r>
            <w:r w:rsidRPr="00A37AFA">
              <w:rPr>
                <w:rFonts w:asciiTheme="majorHAnsi" w:hAnsiTheme="majorHAnsi"/>
                <w:vertAlign w:val="superscript"/>
              </w:rPr>
              <w:t>th</w:t>
            </w:r>
            <w:r>
              <w:rPr>
                <w:rFonts w:asciiTheme="majorHAnsi" w:hAnsiTheme="majorHAnsi"/>
              </w:rPr>
              <w:t xml:space="preserve"> November 2017</w:t>
            </w:r>
          </w:p>
          <w:p w14:paraId="59F060B7" w14:textId="77777777" w:rsidR="007F08FE" w:rsidRPr="007F08FE" w:rsidRDefault="007F08FE" w:rsidP="00CA33E1">
            <w:pPr>
              <w:jc w:val="both"/>
              <w:rPr>
                <w:rFonts w:asciiTheme="majorHAnsi" w:eastAsia="Gungsuh" w:hAnsiTheme="majorHAnsi" w:cs="Arial"/>
                <w:b/>
                <w:color w:val="000000"/>
                <w:sz w:val="10"/>
                <w:szCs w:val="10"/>
                <w:shd w:val="clear" w:color="auto" w:fill="FFFFFF"/>
              </w:rPr>
            </w:pPr>
          </w:p>
          <w:p w14:paraId="229AE4F8" w14:textId="77777777" w:rsidR="00A37AFA" w:rsidRDefault="00A37AFA" w:rsidP="00CA33E1">
            <w:pPr>
              <w:jc w:val="both"/>
              <w:rPr>
                <w:rFonts w:asciiTheme="majorHAnsi" w:eastAsia="Gungsuh" w:hAnsiTheme="majorHAnsi" w:cs="Arial"/>
                <w:b/>
                <w:color w:val="000000"/>
                <w:shd w:val="clear" w:color="auto" w:fill="FFFFFF"/>
              </w:rPr>
            </w:pPr>
          </w:p>
          <w:p w14:paraId="75BB2232" w14:textId="78FD25AA" w:rsidR="00C02C5B" w:rsidRPr="009871CF" w:rsidRDefault="00C02C5B" w:rsidP="00CA33E1">
            <w:pPr>
              <w:jc w:val="both"/>
              <w:rPr>
                <w:rFonts w:asciiTheme="majorHAnsi" w:eastAsia="Gungsuh" w:hAnsiTheme="majorHAnsi" w:cs="Arial"/>
                <w:color w:val="000000"/>
                <w:shd w:val="clear" w:color="auto" w:fill="FFFFFF"/>
              </w:rPr>
            </w:pPr>
            <w:r w:rsidRPr="009871CF">
              <w:rPr>
                <w:rFonts w:asciiTheme="majorHAnsi" w:eastAsia="Gungsuh" w:hAnsiTheme="majorHAnsi" w:cs="Arial"/>
                <w:b/>
                <w:color w:val="000000"/>
                <w:shd w:val="clear" w:color="auto" w:fill="FFFFFF"/>
              </w:rPr>
              <w:t>National Health Systems Resource Centre (NHSRC)</w:t>
            </w:r>
            <w:r w:rsidRPr="009871CF">
              <w:rPr>
                <w:rFonts w:asciiTheme="majorHAnsi" w:eastAsia="Gungsuh" w:hAnsiTheme="majorHAnsi" w:cs="Arial"/>
                <w:color w:val="000000"/>
                <w:shd w:val="clear" w:color="auto" w:fill="FFFFFF"/>
              </w:rPr>
              <w:t xml:space="preserve"> has been set up under the N</w:t>
            </w:r>
            <w:r w:rsidR="00867607">
              <w:rPr>
                <w:rFonts w:asciiTheme="majorHAnsi" w:eastAsia="Gungsuh" w:hAnsiTheme="majorHAnsi" w:cs="Arial"/>
                <w:color w:val="000000"/>
                <w:shd w:val="clear" w:color="auto" w:fill="FFFFFF"/>
              </w:rPr>
              <w:t xml:space="preserve">ational Health Mission (NHM), </w:t>
            </w:r>
            <w:r w:rsidRPr="009871CF">
              <w:rPr>
                <w:rFonts w:asciiTheme="majorHAnsi" w:eastAsia="Gungsuh" w:hAnsiTheme="majorHAnsi" w:cs="Arial"/>
                <w:color w:val="000000"/>
                <w:shd w:val="clear" w:color="auto" w:fill="FFFFFF"/>
              </w:rPr>
              <w:t xml:space="preserve">Government of India to serve as an apex body for technical assistance to Ministry of Health &amp; Family </w:t>
            </w:r>
            <w:r w:rsidR="00B40ED2" w:rsidRPr="009871CF">
              <w:rPr>
                <w:rFonts w:asciiTheme="majorHAnsi" w:eastAsia="Gungsuh" w:hAnsiTheme="majorHAnsi" w:cs="Arial"/>
                <w:color w:val="000000"/>
                <w:shd w:val="clear" w:color="auto" w:fill="FFFFFF"/>
              </w:rPr>
              <w:t>W</w:t>
            </w:r>
            <w:r w:rsidR="007F08FE">
              <w:rPr>
                <w:rFonts w:asciiTheme="majorHAnsi" w:eastAsia="Gungsuh" w:hAnsiTheme="majorHAnsi" w:cs="Arial"/>
                <w:color w:val="000000"/>
                <w:shd w:val="clear" w:color="auto" w:fill="FFFFFF"/>
              </w:rPr>
              <w:t>elfare &amp; State Governments.</w:t>
            </w:r>
          </w:p>
          <w:p w14:paraId="271BD093" w14:textId="77777777" w:rsidR="00CA33E1" w:rsidRPr="009871CF" w:rsidRDefault="00CA33E1" w:rsidP="00CA33E1">
            <w:pPr>
              <w:jc w:val="both"/>
              <w:rPr>
                <w:rFonts w:ascii="Gungsuh" w:eastAsia="Gungsuh" w:hAnsi="Gungsuh" w:cs="Arial"/>
                <w:color w:val="000000"/>
                <w:sz w:val="8"/>
                <w:szCs w:val="10"/>
                <w:shd w:val="clear" w:color="auto" w:fill="FFFFFF"/>
              </w:rPr>
            </w:pPr>
          </w:p>
          <w:p w14:paraId="2B935AC7" w14:textId="77777777" w:rsidR="00982A43" w:rsidRDefault="00982A43" w:rsidP="00CA33E1">
            <w:pPr>
              <w:jc w:val="both"/>
              <w:rPr>
                <w:rFonts w:asciiTheme="majorHAnsi" w:eastAsia="Gungsuh" w:hAnsiTheme="majorHAnsi" w:cs="Arial"/>
                <w:b/>
                <w:color w:val="000000"/>
                <w:shd w:val="clear" w:color="auto" w:fill="FFFFFF"/>
              </w:rPr>
            </w:pPr>
          </w:p>
          <w:p w14:paraId="711D6D58" w14:textId="140C011C" w:rsidR="00B40ED2" w:rsidRPr="009871CF" w:rsidRDefault="00A64024" w:rsidP="00CA33E1">
            <w:pPr>
              <w:jc w:val="both"/>
              <w:rPr>
                <w:rFonts w:asciiTheme="majorHAnsi" w:eastAsia="Gungsuh" w:hAnsiTheme="majorHAnsi" w:cs="Arial"/>
                <w:color w:val="000000"/>
                <w:shd w:val="clear" w:color="auto" w:fill="FFFFFF"/>
              </w:rPr>
            </w:pPr>
            <w:r w:rsidRPr="009871CF">
              <w:rPr>
                <w:rFonts w:asciiTheme="majorHAnsi" w:eastAsia="Gungsuh" w:hAnsiTheme="majorHAnsi" w:cs="Arial"/>
                <w:b/>
                <w:color w:val="000000"/>
                <w:shd w:val="clear" w:color="auto" w:fill="FFFFFF"/>
              </w:rPr>
              <w:t xml:space="preserve">Ministry of Health &amp; Family Welfare </w:t>
            </w:r>
            <w:r w:rsidRPr="009871CF">
              <w:rPr>
                <w:rFonts w:asciiTheme="majorHAnsi" w:eastAsia="Gungsuh" w:hAnsiTheme="majorHAnsi" w:cs="Arial"/>
                <w:color w:val="000000"/>
                <w:shd w:val="clear" w:color="auto" w:fill="FFFFFF"/>
              </w:rPr>
              <w:t>has rolled out</w:t>
            </w:r>
            <w:r w:rsidRPr="009871CF">
              <w:rPr>
                <w:rFonts w:asciiTheme="majorHAnsi" w:eastAsia="Gungsuh" w:hAnsiTheme="majorHAnsi" w:cs="Arial"/>
                <w:b/>
                <w:color w:val="000000"/>
                <w:shd w:val="clear" w:color="auto" w:fill="FFFFFF"/>
              </w:rPr>
              <w:t xml:space="preserve"> N</w:t>
            </w:r>
            <w:r w:rsidR="00C07B68" w:rsidRPr="009871CF">
              <w:rPr>
                <w:rFonts w:asciiTheme="majorHAnsi" w:eastAsia="Gungsuh" w:hAnsiTheme="majorHAnsi" w:cs="Arial"/>
                <w:b/>
                <w:color w:val="000000"/>
                <w:shd w:val="clear" w:color="auto" w:fill="FFFFFF"/>
              </w:rPr>
              <w:t>ational Quality Assurance Standards</w:t>
            </w:r>
            <w:r w:rsidR="00C07B68" w:rsidRPr="009871CF">
              <w:rPr>
                <w:rFonts w:asciiTheme="majorHAnsi" w:eastAsia="Gungsuh" w:hAnsiTheme="majorHAnsi" w:cs="Arial"/>
                <w:color w:val="000000"/>
                <w:shd w:val="clear" w:color="auto" w:fill="FFFFFF"/>
              </w:rPr>
              <w:t xml:space="preserve"> </w:t>
            </w:r>
            <w:r w:rsidRPr="009871CF">
              <w:rPr>
                <w:rFonts w:asciiTheme="majorHAnsi" w:eastAsia="Gungsuh" w:hAnsiTheme="majorHAnsi" w:cs="Arial"/>
                <w:color w:val="000000"/>
                <w:shd w:val="clear" w:color="auto" w:fill="FFFFFF"/>
              </w:rPr>
              <w:t xml:space="preserve">(NQAS) and Quality Improvement Division of NHSRC </w:t>
            </w:r>
            <w:r w:rsidR="007F08FE">
              <w:rPr>
                <w:rFonts w:asciiTheme="majorHAnsi" w:eastAsia="Gungsuh" w:hAnsiTheme="majorHAnsi" w:cs="Arial"/>
                <w:color w:val="000000"/>
                <w:shd w:val="clear" w:color="auto" w:fill="FFFFFF"/>
              </w:rPr>
              <w:t>functions as secretariat for this</w:t>
            </w:r>
            <w:r w:rsidRPr="009871CF">
              <w:rPr>
                <w:rFonts w:asciiTheme="majorHAnsi" w:eastAsia="Gungsuh" w:hAnsiTheme="majorHAnsi" w:cs="Arial"/>
                <w:color w:val="000000"/>
                <w:shd w:val="clear" w:color="auto" w:fill="FFFFFF"/>
              </w:rPr>
              <w:t xml:space="preserve"> initiative. The Quality standards are arranged around </w:t>
            </w:r>
            <w:r w:rsidR="00B930F9">
              <w:rPr>
                <w:rFonts w:asciiTheme="majorHAnsi" w:eastAsia="Gungsuh" w:hAnsiTheme="majorHAnsi" w:cs="Arial"/>
                <w:color w:val="000000"/>
                <w:shd w:val="clear" w:color="auto" w:fill="FFFFFF"/>
              </w:rPr>
              <w:t>Eight</w:t>
            </w:r>
            <w:r w:rsidRPr="009871CF">
              <w:rPr>
                <w:rFonts w:asciiTheme="majorHAnsi" w:eastAsia="Gungsuh" w:hAnsiTheme="majorHAnsi" w:cs="Arial"/>
                <w:color w:val="000000"/>
                <w:shd w:val="clear" w:color="auto" w:fill="FFFFFF"/>
              </w:rPr>
              <w:t xml:space="preserve"> A</w:t>
            </w:r>
            <w:r w:rsidR="00C07B68" w:rsidRPr="009871CF">
              <w:rPr>
                <w:rFonts w:asciiTheme="majorHAnsi" w:eastAsia="Gungsuh" w:hAnsiTheme="majorHAnsi" w:cs="Arial"/>
                <w:color w:val="000000"/>
                <w:shd w:val="clear" w:color="auto" w:fill="FFFFFF"/>
              </w:rPr>
              <w:t>rea of Concern</w:t>
            </w:r>
            <w:r w:rsidR="00CA33E1" w:rsidRPr="009871CF">
              <w:rPr>
                <w:rFonts w:asciiTheme="majorHAnsi" w:eastAsia="Gungsuh" w:hAnsiTheme="majorHAnsi" w:cs="Arial"/>
                <w:color w:val="000000"/>
                <w:shd w:val="clear" w:color="auto" w:fill="FFFFFF"/>
              </w:rPr>
              <w:t>s</w:t>
            </w:r>
            <w:r w:rsidR="00C07B68" w:rsidRPr="009871CF">
              <w:rPr>
                <w:rFonts w:asciiTheme="majorHAnsi" w:eastAsia="Gungsuh" w:hAnsiTheme="majorHAnsi" w:cs="Arial"/>
                <w:color w:val="000000"/>
                <w:shd w:val="clear" w:color="auto" w:fill="FFFFFF"/>
              </w:rPr>
              <w:t xml:space="preserve"> </w:t>
            </w:r>
            <w:r w:rsidR="00CA33E1" w:rsidRPr="009871CF">
              <w:rPr>
                <w:rFonts w:asciiTheme="majorHAnsi" w:eastAsia="Gungsuh" w:hAnsiTheme="majorHAnsi" w:cs="Arial"/>
                <w:color w:val="000000"/>
                <w:shd w:val="clear" w:color="auto" w:fill="FFFFFF"/>
              </w:rPr>
              <w:t>(Service Provision, Inputs, Patient Rights, Support Services, Clinical Services, Infection Control</w:t>
            </w:r>
            <w:r w:rsidRPr="009871CF">
              <w:rPr>
                <w:rFonts w:asciiTheme="majorHAnsi" w:eastAsia="Gungsuh" w:hAnsiTheme="majorHAnsi" w:cs="Arial"/>
                <w:color w:val="000000"/>
                <w:shd w:val="clear" w:color="auto" w:fill="FFFFFF"/>
              </w:rPr>
              <w:t xml:space="preserve">, Quality Management, </w:t>
            </w:r>
            <w:r w:rsidR="009871CF" w:rsidRPr="009871CF">
              <w:rPr>
                <w:rFonts w:asciiTheme="majorHAnsi" w:eastAsia="Gungsuh" w:hAnsiTheme="majorHAnsi" w:cs="Arial"/>
                <w:color w:val="000000"/>
                <w:shd w:val="clear" w:color="auto" w:fill="FFFFFF"/>
              </w:rPr>
              <w:t>and Outcome</w:t>
            </w:r>
            <w:r w:rsidRPr="009871CF">
              <w:rPr>
                <w:rFonts w:asciiTheme="majorHAnsi" w:eastAsia="Gungsuh" w:hAnsiTheme="majorHAnsi" w:cs="Arial"/>
                <w:color w:val="000000"/>
                <w:shd w:val="clear" w:color="auto" w:fill="FFFFFF"/>
              </w:rPr>
              <w:t xml:space="preserve">), Quality Standards, Measurable Elements and </w:t>
            </w:r>
            <w:r w:rsidR="009871CF" w:rsidRPr="009871CF">
              <w:rPr>
                <w:rFonts w:asciiTheme="majorHAnsi" w:eastAsia="Gungsuh" w:hAnsiTheme="majorHAnsi" w:cs="Arial"/>
                <w:color w:val="000000"/>
                <w:shd w:val="clear" w:color="auto" w:fill="FFFFFF"/>
              </w:rPr>
              <w:t>D</w:t>
            </w:r>
            <w:r w:rsidR="00C07B68" w:rsidRPr="009871CF">
              <w:rPr>
                <w:rFonts w:asciiTheme="majorHAnsi" w:eastAsia="Gungsuh" w:hAnsiTheme="majorHAnsi" w:cs="Arial"/>
                <w:color w:val="000000"/>
                <w:shd w:val="clear" w:color="auto" w:fill="FFFFFF"/>
              </w:rPr>
              <w:t xml:space="preserve">epartmental </w:t>
            </w:r>
            <w:r w:rsidR="009871CF" w:rsidRPr="009871CF">
              <w:rPr>
                <w:rFonts w:asciiTheme="majorHAnsi" w:eastAsia="Gungsuh" w:hAnsiTheme="majorHAnsi" w:cs="Arial"/>
                <w:color w:val="000000"/>
                <w:shd w:val="clear" w:color="auto" w:fill="FFFFFF"/>
              </w:rPr>
              <w:t>C</w:t>
            </w:r>
            <w:r w:rsidR="00B930F9">
              <w:rPr>
                <w:rFonts w:asciiTheme="majorHAnsi" w:eastAsia="Gungsuh" w:hAnsiTheme="majorHAnsi" w:cs="Arial"/>
                <w:color w:val="000000"/>
                <w:shd w:val="clear" w:color="auto" w:fill="FFFFFF"/>
              </w:rPr>
              <w:t>hecklists</w:t>
            </w:r>
            <w:r w:rsidR="00CA33E1" w:rsidRPr="009871CF">
              <w:rPr>
                <w:rFonts w:asciiTheme="majorHAnsi" w:eastAsia="Gungsuh" w:hAnsiTheme="majorHAnsi" w:cs="Arial"/>
                <w:color w:val="000000"/>
                <w:shd w:val="clear" w:color="auto" w:fill="FFFFFF"/>
              </w:rPr>
              <w:t>.</w:t>
            </w:r>
          </w:p>
          <w:p w14:paraId="10F8AFEC" w14:textId="77777777" w:rsidR="00B40ED2" w:rsidRPr="009871CF" w:rsidRDefault="00B40ED2" w:rsidP="006A3795">
            <w:pPr>
              <w:rPr>
                <w:rFonts w:ascii="Gungsuh" w:eastAsia="Gungsuh" w:hAnsi="Gungsuh" w:cs="Arial"/>
                <w:color w:val="000000"/>
                <w:sz w:val="8"/>
                <w:szCs w:val="10"/>
                <w:shd w:val="clear" w:color="auto" w:fill="FFFFFF"/>
              </w:rPr>
            </w:pPr>
          </w:p>
          <w:p w14:paraId="7113A000" w14:textId="77777777" w:rsidR="00982A43" w:rsidRDefault="00982A43" w:rsidP="005757C0">
            <w:pPr>
              <w:jc w:val="both"/>
              <w:rPr>
                <w:rFonts w:asciiTheme="majorHAnsi" w:eastAsia="Gungsuh" w:hAnsiTheme="majorHAnsi"/>
              </w:rPr>
            </w:pPr>
          </w:p>
          <w:p w14:paraId="526AD074" w14:textId="4F0E4255" w:rsidR="008309E2" w:rsidRDefault="008309E2" w:rsidP="005757C0">
            <w:pPr>
              <w:jc w:val="both"/>
              <w:rPr>
                <w:rFonts w:asciiTheme="majorHAnsi" w:eastAsia="Gungsuh" w:hAnsiTheme="majorHAnsi"/>
              </w:rPr>
            </w:pPr>
            <w:r>
              <w:rPr>
                <w:rFonts w:asciiTheme="majorHAnsi" w:eastAsia="Gungsuh" w:hAnsiTheme="majorHAnsi"/>
              </w:rPr>
              <w:t xml:space="preserve">India has made significant improvement in maternal health indicators in past one decade and reached MMR of 167 per 100,000 livebirths. However, the pace of decline needs to be accelerated. It has been observed that many public health institutions are not able to provide quality of care due to lack of infrastructure, trained human resources and failure to adherence of protocols. </w:t>
            </w:r>
          </w:p>
          <w:p w14:paraId="07862CDC" w14:textId="77777777" w:rsidR="008309E2" w:rsidRDefault="008309E2" w:rsidP="005757C0">
            <w:pPr>
              <w:jc w:val="both"/>
              <w:rPr>
                <w:rFonts w:asciiTheme="majorHAnsi" w:eastAsia="Gungsuh" w:hAnsiTheme="majorHAnsi"/>
              </w:rPr>
            </w:pPr>
          </w:p>
          <w:p w14:paraId="1ED85703" w14:textId="4B7A81DA" w:rsidR="001219DD" w:rsidRPr="009871CF" w:rsidRDefault="008309E2" w:rsidP="005757C0">
            <w:pPr>
              <w:jc w:val="both"/>
              <w:rPr>
                <w:rFonts w:asciiTheme="majorHAnsi" w:eastAsia="Gungsuh" w:hAnsiTheme="majorHAnsi"/>
                <w:szCs w:val="24"/>
              </w:rPr>
            </w:pPr>
            <w:r>
              <w:rPr>
                <w:rFonts w:asciiTheme="majorHAnsi" w:eastAsia="Gungsuh" w:hAnsiTheme="majorHAnsi"/>
              </w:rPr>
              <w:t xml:space="preserve">To ensure quality in </w:t>
            </w:r>
            <w:r w:rsidR="009D349F">
              <w:rPr>
                <w:rFonts w:asciiTheme="majorHAnsi" w:eastAsia="Gungsuh" w:hAnsiTheme="majorHAnsi"/>
              </w:rPr>
              <w:t>Labour Rooms</w:t>
            </w:r>
            <w:r w:rsidR="009D349F">
              <w:rPr>
                <w:rFonts w:asciiTheme="majorHAnsi" w:eastAsia="Gungsuh" w:hAnsiTheme="majorHAnsi"/>
              </w:rPr>
              <w:t xml:space="preserve">, Maternity </w:t>
            </w:r>
            <w:r w:rsidR="009D349F">
              <w:rPr>
                <w:rFonts w:asciiTheme="majorHAnsi" w:eastAsia="Gungsuh" w:hAnsiTheme="majorHAnsi"/>
              </w:rPr>
              <w:t xml:space="preserve">Operation Theatre </w:t>
            </w:r>
            <w:r w:rsidR="009D349F">
              <w:rPr>
                <w:rFonts w:asciiTheme="majorHAnsi" w:eastAsia="Gungsuh" w:hAnsiTheme="majorHAnsi"/>
              </w:rPr>
              <w:t xml:space="preserve">and </w:t>
            </w:r>
            <w:r>
              <w:rPr>
                <w:rFonts w:asciiTheme="majorHAnsi" w:eastAsia="Gungsuh" w:hAnsiTheme="majorHAnsi"/>
              </w:rPr>
              <w:t xml:space="preserve">Special New-born Care </w:t>
            </w:r>
            <w:r w:rsidR="0003646E">
              <w:rPr>
                <w:rFonts w:asciiTheme="majorHAnsi" w:eastAsia="Gungsuh" w:hAnsiTheme="majorHAnsi"/>
              </w:rPr>
              <w:t>U</w:t>
            </w:r>
            <w:r>
              <w:rPr>
                <w:rFonts w:asciiTheme="majorHAnsi" w:eastAsia="Gungsuh" w:hAnsiTheme="majorHAnsi"/>
              </w:rPr>
              <w:t>nits</w:t>
            </w:r>
            <w:r w:rsidR="0003646E">
              <w:rPr>
                <w:rFonts w:asciiTheme="majorHAnsi" w:eastAsia="Gungsuh" w:hAnsiTheme="majorHAnsi"/>
              </w:rPr>
              <w:t xml:space="preserve"> in public health institutions, NHSRC has revised quality standards to strengthen maternal and new-born services</w:t>
            </w:r>
            <w:r w:rsidR="009D349F">
              <w:rPr>
                <w:rFonts w:asciiTheme="majorHAnsi" w:eastAsia="Gungsuh" w:hAnsiTheme="majorHAnsi"/>
              </w:rPr>
              <w:t xml:space="preserve"> as per the international practices</w:t>
            </w:r>
            <w:r w:rsidR="0003646E">
              <w:rPr>
                <w:rFonts w:asciiTheme="majorHAnsi" w:eastAsia="Gungsuh" w:hAnsiTheme="majorHAnsi"/>
              </w:rPr>
              <w:t xml:space="preserve">. In </w:t>
            </w:r>
            <w:r w:rsidR="008A16CA">
              <w:rPr>
                <w:rFonts w:asciiTheme="majorHAnsi" w:eastAsia="Gungsuh" w:hAnsiTheme="majorHAnsi"/>
              </w:rPr>
              <w:t xml:space="preserve">the light of the above Revised National Quality Assurance Standards have been circulated to </w:t>
            </w:r>
            <w:r w:rsidR="009D349F">
              <w:rPr>
                <w:rFonts w:asciiTheme="majorHAnsi" w:eastAsia="Gungsuh" w:hAnsiTheme="majorHAnsi"/>
              </w:rPr>
              <w:t>invite</w:t>
            </w:r>
            <w:r w:rsidR="008A16CA">
              <w:rPr>
                <w:rFonts w:asciiTheme="majorHAnsi" w:eastAsia="Gungsuh" w:hAnsiTheme="majorHAnsi"/>
              </w:rPr>
              <w:t xml:space="preserve"> inputs from</w:t>
            </w:r>
            <w:r w:rsidR="00A37AFA">
              <w:rPr>
                <w:rFonts w:asciiTheme="majorHAnsi" w:eastAsia="Gungsuh" w:hAnsiTheme="majorHAnsi"/>
              </w:rPr>
              <w:t xml:space="preserve"> </w:t>
            </w:r>
            <w:r w:rsidR="009D349F">
              <w:rPr>
                <w:rFonts w:asciiTheme="majorHAnsi" w:eastAsia="Gungsuh" w:hAnsiTheme="majorHAnsi"/>
              </w:rPr>
              <w:t>organizations working in healthcare sector,</w:t>
            </w:r>
            <w:r w:rsidR="008A16CA">
              <w:rPr>
                <w:rFonts w:asciiTheme="majorHAnsi" w:eastAsia="Gungsuh" w:hAnsiTheme="majorHAnsi"/>
              </w:rPr>
              <w:t xml:space="preserve"> technical bodies, knowledge </w:t>
            </w:r>
            <w:r w:rsidR="00982A43">
              <w:rPr>
                <w:rFonts w:asciiTheme="majorHAnsi" w:eastAsia="Gungsuh" w:hAnsiTheme="majorHAnsi"/>
              </w:rPr>
              <w:t>partners</w:t>
            </w:r>
            <w:r w:rsidR="00A37AFA">
              <w:rPr>
                <w:rFonts w:asciiTheme="majorHAnsi" w:eastAsia="Gungsuh" w:hAnsiTheme="majorHAnsi"/>
              </w:rPr>
              <w:t xml:space="preserve"> and </w:t>
            </w:r>
            <w:r w:rsidR="009D349F">
              <w:rPr>
                <w:rFonts w:asciiTheme="majorHAnsi" w:eastAsia="Gungsuh" w:hAnsiTheme="majorHAnsi"/>
              </w:rPr>
              <w:t>beneficiaries</w:t>
            </w:r>
            <w:r w:rsidR="008A16CA">
              <w:rPr>
                <w:rFonts w:asciiTheme="majorHAnsi" w:eastAsia="Gungsuh" w:hAnsiTheme="majorHAnsi"/>
              </w:rPr>
              <w:t xml:space="preserve"> to get a holistic</w:t>
            </w:r>
            <w:r w:rsidR="00982A43">
              <w:rPr>
                <w:rFonts w:asciiTheme="majorHAnsi" w:eastAsia="Gungsuh" w:hAnsiTheme="majorHAnsi"/>
              </w:rPr>
              <w:t xml:space="preserve"> view of experts</w:t>
            </w:r>
          </w:p>
          <w:p w14:paraId="6C8EC8E8" w14:textId="77777777" w:rsidR="00E41D62" w:rsidRPr="00AE1D6A" w:rsidRDefault="00E41D62" w:rsidP="005757C0">
            <w:pPr>
              <w:jc w:val="both"/>
              <w:rPr>
                <w:rFonts w:asciiTheme="majorHAnsi" w:eastAsia="Gungsuh" w:hAnsiTheme="majorHAnsi"/>
                <w:szCs w:val="24"/>
              </w:rPr>
            </w:pPr>
          </w:p>
          <w:p w14:paraId="71D6E538" w14:textId="77777777" w:rsidR="00E34AAC" w:rsidRPr="009871CF" w:rsidRDefault="00E34AAC" w:rsidP="00397573">
            <w:pPr>
              <w:jc w:val="both"/>
              <w:rPr>
                <w:rFonts w:asciiTheme="majorHAnsi" w:eastAsia="Gungsuh" w:hAnsiTheme="majorHAnsi"/>
                <w:sz w:val="8"/>
                <w:szCs w:val="10"/>
              </w:rPr>
            </w:pPr>
          </w:p>
          <w:p w14:paraId="3A5D07BB" w14:textId="77777777" w:rsidR="00982A43" w:rsidRDefault="00982A43" w:rsidP="00982A43">
            <w:pPr>
              <w:jc w:val="center"/>
              <w:rPr>
                <w:rFonts w:asciiTheme="majorHAnsi" w:eastAsia="Gungsuh" w:hAnsiTheme="majorHAnsi"/>
                <w:b/>
                <w:sz w:val="24"/>
                <w:szCs w:val="24"/>
              </w:rPr>
            </w:pPr>
            <w:r>
              <w:rPr>
                <w:rFonts w:asciiTheme="majorHAnsi" w:eastAsia="Gungsuh" w:hAnsiTheme="majorHAnsi"/>
                <w:b/>
                <w:sz w:val="24"/>
                <w:szCs w:val="24"/>
              </w:rPr>
              <w:t xml:space="preserve">The interested parties may submit their comments only by e-mail at </w:t>
            </w:r>
          </w:p>
          <w:p w14:paraId="07DA3C9F" w14:textId="4B266CBE" w:rsidR="0083491E" w:rsidRPr="00982A43" w:rsidRDefault="00982A43" w:rsidP="00982A43">
            <w:pPr>
              <w:jc w:val="center"/>
              <w:rPr>
                <w:rFonts w:asciiTheme="majorHAnsi" w:eastAsia="Gungsuh" w:hAnsiTheme="majorHAnsi"/>
                <w:b/>
                <w:sz w:val="24"/>
                <w:szCs w:val="24"/>
              </w:rPr>
            </w:pPr>
            <w:hyperlink r:id="rId8" w:history="1">
              <w:r w:rsidRPr="00386EED">
                <w:rPr>
                  <w:rStyle w:val="Hyperlink"/>
                  <w:rFonts w:asciiTheme="majorHAnsi" w:eastAsia="Gungsuh" w:hAnsiTheme="majorHAnsi"/>
                  <w:b/>
                  <w:sz w:val="24"/>
                  <w:szCs w:val="24"/>
                </w:rPr>
                <w:t>qi.nhsrc@gmail.com</w:t>
              </w:r>
            </w:hyperlink>
            <w:r>
              <w:rPr>
                <w:rFonts w:asciiTheme="majorHAnsi" w:eastAsia="Gungsuh" w:hAnsiTheme="majorHAnsi"/>
                <w:b/>
                <w:sz w:val="24"/>
                <w:szCs w:val="24"/>
              </w:rPr>
              <w:t xml:space="preserve"> by </w:t>
            </w:r>
            <w:r w:rsidRPr="00982A43">
              <w:rPr>
                <w:rStyle w:val="Hyperlink"/>
                <w:b/>
                <w:bCs/>
                <w:u w:val="none"/>
              </w:rPr>
              <w:t>Wednesday 22nd November 2017</w:t>
            </w:r>
            <w:r>
              <w:rPr>
                <w:rFonts w:asciiTheme="majorHAnsi" w:eastAsia="Gungsuh" w:hAnsiTheme="majorHAnsi"/>
                <w:b/>
                <w:sz w:val="24"/>
                <w:szCs w:val="24"/>
              </w:rPr>
              <w:t>.</w:t>
            </w:r>
          </w:p>
        </w:tc>
        <w:bookmarkStart w:id="0" w:name="_GoBack"/>
        <w:bookmarkEnd w:id="0"/>
      </w:tr>
    </w:tbl>
    <w:p w14:paraId="6F151737" w14:textId="77777777" w:rsidR="00A56873" w:rsidRPr="004A2E40" w:rsidRDefault="00A56873" w:rsidP="002E1E0E"/>
    <w:sectPr w:rsidR="00A56873" w:rsidRPr="004A2E40" w:rsidSect="00982A43">
      <w:pgSz w:w="11907" w:h="16839" w:code="9"/>
      <w:pgMar w:top="990" w:right="1440" w:bottom="360" w:left="1440" w:header="360" w:footer="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321AC" w14:textId="77777777" w:rsidR="003C1747" w:rsidRDefault="003C1747" w:rsidP="00B528F7">
      <w:pPr>
        <w:spacing w:after="0" w:line="240" w:lineRule="auto"/>
      </w:pPr>
      <w:r>
        <w:separator/>
      </w:r>
    </w:p>
  </w:endnote>
  <w:endnote w:type="continuationSeparator" w:id="0">
    <w:p w14:paraId="06E365C9" w14:textId="77777777" w:rsidR="003C1747" w:rsidRDefault="003C1747" w:rsidP="00B52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ungsuh">
    <w:altName w:val="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22EAE" w14:textId="77777777" w:rsidR="003C1747" w:rsidRDefault="003C1747" w:rsidP="00B528F7">
      <w:pPr>
        <w:spacing w:after="0" w:line="240" w:lineRule="auto"/>
      </w:pPr>
      <w:r>
        <w:separator/>
      </w:r>
    </w:p>
  </w:footnote>
  <w:footnote w:type="continuationSeparator" w:id="0">
    <w:p w14:paraId="57CDA96F" w14:textId="77777777" w:rsidR="003C1747" w:rsidRDefault="003C1747" w:rsidP="00B52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A43B5"/>
    <w:multiLevelType w:val="hybridMultilevel"/>
    <w:tmpl w:val="B52AC060"/>
    <w:lvl w:ilvl="0" w:tplc="A46C6B5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77578"/>
    <w:multiLevelType w:val="hybridMultilevel"/>
    <w:tmpl w:val="ADEE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D1E96"/>
    <w:multiLevelType w:val="hybridMultilevel"/>
    <w:tmpl w:val="173A82F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39511F80"/>
    <w:multiLevelType w:val="hybridMultilevel"/>
    <w:tmpl w:val="E8FC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F6941"/>
    <w:multiLevelType w:val="hybridMultilevel"/>
    <w:tmpl w:val="AA285E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305E4"/>
    <w:multiLevelType w:val="hybridMultilevel"/>
    <w:tmpl w:val="4D0048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8F7"/>
    <w:rsid w:val="0003646E"/>
    <w:rsid w:val="00055176"/>
    <w:rsid w:val="0005790F"/>
    <w:rsid w:val="000769E5"/>
    <w:rsid w:val="00090EA6"/>
    <w:rsid w:val="000C1977"/>
    <w:rsid w:val="001119D9"/>
    <w:rsid w:val="001219DD"/>
    <w:rsid w:val="0012534E"/>
    <w:rsid w:val="001268BD"/>
    <w:rsid w:val="00152EA6"/>
    <w:rsid w:val="00195ECF"/>
    <w:rsid w:val="00197E1C"/>
    <w:rsid w:val="001D4405"/>
    <w:rsid w:val="001E49F5"/>
    <w:rsid w:val="001F23DD"/>
    <w:rsid w:val="002523BA"/>
    <w:rsid w:val="00285250"/>
    <w:rsid w:val="002A0F73"/>
    <w:rsid w:val="002A3C21"/>
    <w:rsid w:val="002B7C6C"/>
    <w:rsid w:val="002D30D9"/>
    <w:rsid w:val="002D3B9C"/>
    <w:rsid w:val="002D5ADC"/>
    <w:rsid w:val="002E1E0E"/>
    <w:rsid w:val="003126DB"/>
    <w:rsid w:val="003524EF"/>
    <w:rsid w:val="00397573"/>
    <w:rsid w:val="003C1747"/>
    <w:rsid w:val="00400656"/>
    <w:rsid w:val="004601D1"/>
    <w:rsid w:val="004840A3"/>
    <w:rsid w:val="004942D9"/>
    <w:rsid w:val="004A2E40"/>
    <w:rsid w:val="004A3026"/>
    <w:rsid w:val="004A4E23"/>
    <w:rsid w:val="004B63E9"/>
    <w:rsid w:val="005211BD"/>
    <w:rsid w:val="00550348"/>
    <w:rsid w:val="00554D40"/>
    <w:rsid w:val="005757C0"/>
    <w:rsid w:val="00592A9A"/>
    <w:rsid w:val="005A40DE"/>
    <w:rsid w:val="005A52D4"/>
    <w:rsid w:val="005D0EFC"/>
    <w:rsid w:val="00621E71"/>
    <w:rsid w:val="00685782"/>
    <w:rsid w:val="006A3795"/>
    <w:rsid w:val="006A4BF4"/>
    <w:rsid w:val="006F3EC6"/>
    <w:rsid w:val="00770F19"/>
    <w:rsid w:val="00783970"/>
    <w:rsid w:val="007907E4"/>
    <w:rsid w:val="00796301"/>
    <w:rsid w:val="007C705E"/>
    <w:rsid w:val="007E7795"/>
    <w:rsid w:val="007F08FE"/>
    <w:rsid w:val="007F4077"/>
    <w:rsid w:val="007F60E2"/>
    <w:rsid w:val="008057EF"/>
    <w:rsid w:val="00814E1B"/>
    <w:rsid w:val="00827727"/>
    <w:rsid w:val="008309E2"/>
    <w:rsid w:val="0083491E"/>
    <w:rsid w:val="00857731"/>
    <w:rsid w:val="00867607"/>
    <w:rsid w:val="00886785"/>
    <w:rsid w:val="00893A39"/>
    <w:rsid w:val="008A16CA"/>
    <w:rsid w:val="008B0B82"/>
    <w:rsid w:val="008C0372"/>
    <w:rsid w:val="00927EBA"/>
    <w:rsid w:val="00955AD3"/>
    <w:rsid w:val="00982A43"/>
    <w:rsid w:val="009871CF"/>
    <w:rsid w:val="009943E5"/>
    <w:rsid w:val="009B124C"/>
    <w:rsid w:val="009D349F"/>
    <w:rsid w:val="009E6F01"/>
    <w:rsid w:val="00A37AFA"/>
    <w:rsid w:val="00A56873"/>
    <w:rsid w:val="00A64024"/>
    <w:rsid w:val="00A71D03"/>
    <w:rsid w:val="00A73C43"/>
    <w:rsid w:val="00A97019"/>
    <w:rsid w:val="00AA60E5"/>
    <w:rsid w:val="00AB397C"/>
    <w:rsid w:val="00AD7B0F"/>
    <w:rsid w:val="00AE1D6A"/>
    <w:rsid w:val="00AE72B0"/>
    <w:rsid w:val="00AF4968"/>
    <w:rsid w:val="00B05ED9"/>
    <w:rsid w:val="00B11B45"/>
    <w:rsid w:val="00B40ED2"/>
    <w:rsid w:val="00B528F7"/>
    <w:rsid w:val="00B848CF"/>
    <w:rsid w:val="00B92E73"/>
    <w:rsid w:val="00B930F9"/>
    <w:rsid w:val="00BA32C6"/>
    <w:rsid w:val="00BB616A"/>
    <w:rsid w:val="00BC7207"/>
    <w:rsid w:val="00BE3A3F"/>
    <w:rsid w:val="00BF2482"/>
    <w:rsid w:val="00C02702"/>
    <w:rsid w:val="00C02C5B"/>
    <w:rsid w:val="00C07B68"/>
    <w:rsid w:val="00C11A01"/>
    <w:rsid w:val="00C25EEF"/>
    <w:rsid w:val="00C826B1"/>
    <w:rsid w:val="00CA33E1"/>
    <w:rsid w:val="00CE3D6B"/>
    <w:rsid w:val="00CE4F2B"/>
    <w:rsid w:val="00CE6A1C"/>
    <w:rsid w:val="00D86B82"/>
    <w:rsid w:val="00DA3B43"/>
    <w:rsid w:val="00DA6E41"/>
    <w:rsid w:val="00E34AAC"/>
    <w:rsid w:val="00E41D62"/>
    <w:rsid w:val="00E426E3"/>
    <w:rsid w:val="00E53CE6"/>
    <w:rsid w:val="00E60528"/>
    <w:rsid w:val="00E76358"/>
    <w:rsid w:val="00E86285"/>
    <w:rsid w:val="00EB282C"/>
    <w:rsid w:val="00F02D85"/>
    <w:rsid w:val="00F50CF3"/>
    <w:rsid w:val="00F60DAF"/>
    <w:rsid w:val="00F917EC"/>
    <w:rsid w:val="00FD280B"/>
    <w:rsid w:val="00FF0153"/>
    <w:rsid w:val="00FF6A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39A64"/>
  <w15:docId w15:val="{5A8A8973-735F-4459-A1B3-69A412E7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F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528F7"/>
  </w:style>
  <w:style w:type="paragraph" w:styleId="Footer">
    <w:name w:val="footer"/>
    <w:basedOn w:val="Normal"/>
    <w:link w:val="FooterChar"/>
    <w:uiPriority w:val="99"/>
    <w:semiHidden/>
    <w:unhideWhenUsed/>
    <w:rsid w:val="00B528F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semiHidden/>
    <w:rsid w:val="00B528F7"/>
  </w:style>
  <w:style w:type="paragraph" w:styleId="BalloonText">
    <w:name w:val="Balloon Text"/>
    <w:basedOn w:val="Normal"/>
    <w:link w:val="BalloonTextChar"/>
    <w:uiPriority w:val="99"/>
    <w:semiHidden/>
    <w:unhideWhenUsed/>
    <w:rsid w:val="00B52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8F7"/>
    <w:rPr>
      <w:rFonts w:ascii="Tahoma" w:eastAsiaTheme="minorEastAsia" w:hAnsi="Tahoma" w:cs="Tahoma"/>
      <w:sz w:val="16"/>
      <w:szCs w:val="16"/>
    </w:rPr>
  </w:style>
  <w:style w:type="table" w:styleId="TableGrid">
    <w:name w:val="Table Grid"/>
    <w:basedOn w:val="TableNormal"/>
    <w:uiPriority w:val="59"/>
    <w:rsid w:val="007F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26E3"/>
    <w:rPr>
      <w:color w:val="0000FF" w:themeColor="hyperlink"/>
      <w:u w:val="single"/>
    </w:rPr>
  </w:style>
  <w:style w:type="paragraph" w:styleId="ListParagraph">
    <w:name w:val="List Paragraph"/>
    <w:basedOn w:val="Normal"/>
    <w:uiPriority w:val="34"/>
    <w:qFormat/>
    <w:rsid w:val="006A3795"/>
    <w:pPr>
      <w:ind w:left="720"/>
      <w:contextualSpacing/>
    </w:pPr>
  </w:style>
  <w:style w:type="paragraph" w:styleId="NormalWeb">
    <w:name w:val="Normal (Web)"/>
    <w:basedOn w:val="Normal"/>
    <w:uiPriority w:val="99"/>
    <w:semiHidden/>
    <w:unhideWhenUsed/>
    <w:rsid w:val="002B7C6C"/>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F2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7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i.nhsr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CAEA95B-1353-4974-9A7C-CFC645E4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laptop</dc:creator>
  <cp:lastModifiedBy>Arpita</cp:lastModifiedBy>
  <cp:revision>33</cp:revision>
  <cp:lastPrinted>2019-06-12T05:00:00Z</cp:lastPrinted>
  <dcterms:created xsi:type="dcterms:W3CDTF">2019-01-17T11:31:00Z</dcterms:created>
  <dcterms:modified xsi:type="dcterms:W3CDTF">2019-06-12T05:33:00Z</dcterms:modified>
</cp:coreProperties>
</file>